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407B29E3"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Pr="004A06BE">
        <w:rPr>
          <w:rFonts w:ascii="Arial" w:eastAsia="宋体" w:hAnsi="Arial" w:cs="Arial" w:hint="eastAsia"/>
          <w:b/>
          <w:bCs/>
          <w:sz w:val="22"/>
          <w:lang w:val="en-GB"/>
        </w:rPr>
        <w:t>10</w:t>
      </w:r>
      <w:r>
        <w:rPr>
          <w:rFonts w:ascii="Arial" w:eastAsia="宋体" w:hAnsi="Arial" w:cs="Arial"/>
          <w:b/>
          <w:bCs/>
          <w:sz w:val="22"/>
          <w:lang w:val="en-GB"/>
        </w:rPr>
        <w:t>9</w:t>
      </w:r>
      <w:r w:rsidRPr="004A06BE">
        <w:rPr>
          <w:rFonts w:ascii="Arial" w:eastAsia="宋体" w:hAnsi="Arial" w:cs="Arial" w:hint="eastAsia"/>
          <w:b/>
          <w:bCs/>
          <w:sz w:val="22"/>
          <w:lang w:val="en-GB"/>
        </w:rPr>
        <w:t xml:space="preserve">-e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sidRPr="004A06BE">
        <w:rPr>
          <w:rFonts w:ascii="Arial" w:eastAsia="MS Mincho" w:hAnsi="Arial"/>
          <w:b/>
          <w:sz w:val="22"/>
          <w:lang w:val="x-none"/>
        </w:rPr>
        <w:t>R1-</w:t>
      </w:r>
      <w:r w:rsidRPr="004A06BE">
        <w:rPr>
          <w:rFonts w:ascii="Arial" w:eastAsia="宋体" w:hAnsi="Arial" w:hint="eastAsia"/>
          <w:b/>
          <w:sz w:val="22"/>
          <w:lang w:val="x-none"/>
        </w:rPr>
        <w:t>2</w:t>
      </w:r>
      <w:r>
        <w:rPr>
          <w:rFonts w:ascii="Arial" w:eastAsia="宋体" w:hAnsi="Arial" w:hint="eastAsia"/>
          <w:b/>
          <w:sz w:val="22"/>
          <w:lang w:val="x-none"/>
        </w:rPr>
        <w:t>20</w:t>
      </w:r>
      <w:r w:rsidR="00600FB2">
        <w:rPr>
          <w:rFonts w:ascii="Arial" w:eastAsia="宋体" w:hAnsi="Arial"/>
          <w:b/>
          <w:sz w:val="22"/>
        </w:rPr>
        <w:t>3216</w:t>
      </w:r>
    </w:p>
    <w:p w14:paraId="19BAF21F" w14:textId="77777777" w:rsidR="00227E80" w:rsidRPr="004A06BE" w:rsidRDefault="00227E80" w:rsidP="00227E80">
      <w:pPr>
        <w:tabs>
          <w:tab w:val="center" w:pos="4536"/>
          <w:tab w:val="right" w:pos="9072"/>
        </w:tabs>
        <w:spacing w:after="120"/>
        <w:ind w:left="-2"/>
        <w:rPr>
          <w:rFonts w:ascii="Arial" w:eastAsia="宋体" w:hAnsi="Arial" w:cs="Arial"/>
          <w:b/>
          <w:bCs/>
          <w:sz w:val="22"/>
          <w:lang w:val="x-none"/>
        </w:rPr>
      </w:pPr>
      <w:r w:rsidRPr="004A06BE">
        <w:rPr>
          <w:rFonts w:ascii="Arial" w:eastAsia="宋体" w:hAnsi="Arial" w:cs="Arial"/>
          <w:b/>
          <w:bCs/>
          <w:sz w:val="22"/>
          <w:lang w:val="x-none"/>
        </w:rPr>
        <w:t xml:space="preserve">e-Meeting, </w:t>
      </w:r>
      <w:r>
        <w:rPr>
          <w:rFonts w:ascii="Arial" w:eastAsia="宋体" w:hAnsi="Arial" w:cs="Arial"/>
          <w:b/>
          <w:bCs/>
          <w:sz w:val="22"/>
          <w:lang w:val="x-none"/>
        </w:rPr>
        <w:t>May</w:t>
      </w:r>
      <w:r w:rsidRPr="00761B07">
        <w:rPr>
          <w:rFonts w:ascii="Arial" w:eastAsia="宋体" w:hAnsi="Arial" w:cs="Arial"/>
          <w:b/>
          <w:bCs/>
          <w:sz w:val="22"/>
          <w:lang w:val="x-none"/>
        </w:rPr>
        <w:t xml:space="preserve"> </w:t>
      </w:r>
      <w:r>
        <w:rPr>
          <w:rFonts w:ascii="Arial" w:eastAsia="宋体" w:hAnsi="Arial" w:cs="Arial"/>
          <w:b/>
          <w:bCs/>
          <w:sz w:val="22"/>
          <w:lang w:val="x-none"/>
        </w:rPr>
        <w:t>9</w:t>
      </w:r>
      <w:r>
        <w:rPr>
          <w:rFonts w:ascii="Arial" w:eastAsia="宋体" w:hAnsi="Arial" w:cs="Arial"/>
          <w:b/>
          <w:bCs/>
          <w:sz w:val="22"/>
          <w:vertAlign w:val="superscript"/>
          <w:lang w:val="x-none"/>
        </w:rPr>
        <w:t>th</w:t>
      </w:r>
      <w:r w:rsidRPr="00761B07">
        <w:rPr>
          <w:rFonts w:ascii="Arial" w:eastAsia="宋体" w:hAnsi="Arial" w:cs="Arial"/>
          <w:b/>
          <w:bCs/>
          <w:sz w:val="22"/>
          <w:lang w:val="x-none"/>
        </w:rPr>
        <w:t xml:space="preserve"> – </w:t>
      </w:r>
      <w:r>
        <w:rPr>
          <w:rFonts w:ascii="Arial" w:eastAsia="宋体" w:hAnsi="Arial" w:cs="Arial"/>
          <w:b/>
          <w:bCs/>
          <w:sz w:val="22"/>
          <w:lang w:val="x-none"/>
        </w:rPr>
        <w:t>20</w:t>
      </w:r>
      <w:r w:rsidRPr="00073FB0">
        <w:rPr>
          <w:rFonts w:ascii="Arial" w:eastAsia="宋体" w:hAnsi="Arial" w:cs="Arial"/>
          <w:b/>
          <w:bCs/>
          <w:sz w:val="22"/>
          <w:vertAlign w:val="superscript"/>
          <w:lang w:val="x-none"/>
        </w:rPr>
        <w:t xml:space="preserve">th </w:t>
      </w:r>
      <w:r w:rsidRPr="00073FB0">
        <w:rPr>
          <w:rFonts w:ascii="Arial" w:eastAsia="宋体" w:hAnsi="Arial" w:cs="Arial"/>
          <w:b/>
          <w:bCs/>
          <w:sz w:val="22"/>
          <w:lang w:val="x-none"/>
        </w:rPr>
        <w:t xml:space="preserve">, </w:t>
      </w:r>
      <w:r w:rsidRPr="004A06BE">
        <w:rPr>
          <w:rFonts w:ascii="Arial" w:eastAsia="宋体" w:hAnsi="Arial" w:cs="Arial"/>
          <w:b/>
          <w:bCs/>
          <w:sz w:val="22"/>
          <w:lang w:val="x-none"/>
        </w:rPr>
        <w:t>202</w:t>
      </w:r>
      <w:r>
        <w:rPr>
          <w:rFonts w:ascii="Arial" w:eastAsia="宋体" w:hAnsi="Arial" w:cs="Arial"/>
          <w:b/>
          <w:bCs/>
          <w:sz w:val="22"/>
          <w:lang w:val="x-none"/>
        </w:rPr>
        <w:t>2</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4D0A6781"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227E80" w:rsidRPr="00164469">
        <w:rPr>
          <w:rFonts w:ascii="Arial" w:eastAsia="MS Mincho" w:hAnsi="Arial" w:hint="eastAsia"/>
          <w:b/>
          <w:sz w:val="22"/>
          <w:lang w:val="x-none"/>
        </w:rPr>
        <w:t>Discussion</w:t>
      </w:r>
      <w:r w:rsidR="00227E80" w:rsidRPr="00761B07">
        <w:rPr>
          <w:rFonts w:ascii="Arial" w:eastAsia="MS Mincho" w:hAnsi="Arial"/>
          <w:b/>
          <w:sz w:val="22"/>
          <w:lang w:val="x-none"/>
        </w:rPr>
        <w:t xml:space="preserve"> for </w:t>
      </w:r>
      <w:r w:rsidR="00B41829" w:rsidRPr="00E316FE">
        <w:rPr>
          <w:rFonts w:ascii="Arial" w:eastAsia="MS Mincho" w:hAnsi="Arial"/>
          <w:b/>
          <w:sz w:val="22"/>
          <w:lang w:val="x-none" w:eastAsia="zh-CN"/>
        </w:rPr>
        <w:t>potential</w:t>
      </w:r>
      <w:r w:rsidR="00227E80" w:rsidRPr="00E316FE">
        <w:rPr>
          <w:rFonts w:ascii="Arial" w:eastAsia="MS Mincho" w:hAnsi="Arial"/>
          <w:b/>
          <w:sz w:val="22"/>
          <w:lang w:val="x-none" w:eastAsia="zh-CN"/>
        </w:rPr>
        <w:t xml:space="preserve"> enhancements on dynamic/flexible TDD</w:t>
      </w:r>
    </w:p>
    <w:p w14:paraId="134EC85E" w14:textId="02D99F3D"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227E80">
        <w:rPr>
          <w:rFonts w:ascii="Arial" w:eastAsia="宋体" w:hAnsi="Arial"/>
          <w:b/>
          <w:sz w:val="22"/>
          <w:lang w:val="x-none"/>
        </w:rPr>
        <w:t>9.3.2</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096FC6">
      <w:pPr>
        <w:pStyle w:val="10"/>
        <w:numPr>
          <w:ilvl w:val="0"/>
          <w:numId w:val="36"/>
        </w:numPr>
      </w:pPr>
      <w:bookmarkStart w:id="3" w:name="_Ref521334010"/>
      <w:r w:rsidRPr="00210BAB">
        <w:t>Introduction</w:t>
      </w:r>
      <w:bookmarkEnd w:id="3"/>
    </w:p>
    <w:p w14:paraId="6A82F687" w14:textId="77777777" w:rsidR="00227E80" w:rsidRPr="00227E80" w:rsidRDefault="00227E80" w:rsidP="00227E80">
      <w:pPr>
        <w:spacing w:beforeLines="50" w:before="120" w:after="120"/>
        <w:rPr>
          <w:rFonts w:eastAsia="宋体"/>
        </w:rPr>
      </w:pPr>
      <w:r w:rsidRPr="00227E80">
        <w:rPr>
          <w:rFonts w:eastAsia="宋体"/>
        </w:rPr>
        <w:t>In the</w:t>
      </w:r>
      <w:r w:rsidRPr="004A06BE">
        <w:t xml:space="preserve"> </w:t>
      </w:r>
      <w:r>
        <w:rPr>
          <w:rFonts w:hint="eastAsia"/>
        </w:rPr>
        <w:t>RAN</w:t>
      </w:r>
      <w:r>
        <w:t>#95</w:t>
      </w:r>
      <w:r w:rsidRPr="004A06BE">
        <w:t xml:space="preserve">-e meeting, </w:t>
      </w:r>
      <w:r>
        <w:t xml:space="preserve">WID on </w:t>
      </w:r>
      <w:r w:rsidRPr="004A1CE8">
        <w:rPr>
          <w:lang w:eastAsia="fi-FI"/>
        </w:rPr>
        <w:t xml:space="preserve">Evolution of NR Duplex Operation </w:t>
      </w:r>
      <w:r>
        <w:t xml:space="preserve">was </w:t>
      </w:r>
      <w:r w:rsidRPr="004A06BE">
        <w:t>discussed</w:t>
      </w:r>
      <w:r>
        <w:t xml:space="preserve"> and defined</w:t>
      </w:r>
      <w:r w:rsidRPr="00227E80">
        <w:rPr>
          <w:rFonts w:eastAsia="宋体"/>
        </w:rPr>
        <w:t xml:space="preserve"> as below [1].</w:t>
      </w:r>
    </w:p>
    <w:p w14:paraId="3BCEFE50" w14:textId="1732F994" w:rsidR="009823A2" w:rsidRPr="009823A2" w:rsidRDefault="00227E80" w:rsidP="009823A2">
      <w:pPr>
        <w:pStyle w:val="2"/>
        <w:numPr>
          <w:ilvl w:val="1"/>
          <w:numId w:val="105"/>
        </w:numPr>
      </w:pPr>
      <w:r w:rsidRPr="009823A2">
        <w:t>Justification</w:t>
      </w:r>
    </w:p>
    <w:p w14:paraId="1D4E15FB" w14:textId="77777777" w:rsidR="00227E80" w:rsidRPr="004A1CE8" w:rsidRDefault="00227E80" w:rsidP="00227E80">
      <w:pPr>
        <w:spacing w:after="120"/>
      </w:pPr>
      <w:bookmarkStart w:id="4" w:name="_Hlk89819308"/>
      <w:r w:rsidRPr="004A1CE8">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it would be worth studying the feasibility of allowing the simultaneous existence of downlink and uplink, a.k.a. full duplex, or more specifically, </w:t>
      </w:r>
      <w:proofErr w:type="spellStart"/>
      <w:r w:rsidRPr="004A1CE8">
        <w:t>subband</w:t>
      </w:r>
      <w:proofErr w:type="spellEnd"/>
      <w:r w:rsidRPr="004A1CE8">
        <w:t xml:space="preserve"> non-overlapping full duplex at the </w:t>
      </w:r>
      <w:proofErr w:type="spellStart"/>
      <w:r w:rsidRPr="004A1CE8">
        <w:t>gNB</w:t>
      </w:r>
      <w:proofErr w:type="spellEnd"/>
      <w:r w:rsidRPr="004A1CE8">
        <w:t xml:space="preserve"> side within a conventional TDD band.</w:t>
      </w:r>
    </w:p>
    <w:p w14:paraId="57ADF781" w14:textId="77777777" w:rsidR="00227E80" w:rsidRPr="004A1CE8" w:rsidRDefault="00227E80" w:rsidP="00227E80">
      <w:pPr>
        <w:spacing w:after="120"/>
      </w:pPr>
      <w:r w:rsidRPr="004A1CE8">
        <w:t xml:space="preserve">The NR TDD specifications allow the dynamic/flexible allocation of downlink and uplink in time and CLI handling and RIM for NR were introduced in Rel-16. Nevertheless, further study may be required for CLI handling between the </w:t>
      </w:r>
      <w:proofErr w:type="spellStart"/>
      <w:r w:rsidRPr="004A1CE8">
        <w:t>gNBs</w:t>
      </w:r>
      <w:proofErr w:type="spellEnd"/>
      <w:r w:rsidRPr="004A1CE8">
        <w:t xml:space="preserve"> of the same or different operators to enable the dynamic/flexible TDD in commercial networks. The inter-</w:t>
      </w:r>
      <w:proofErr w:type="spellStart"/>
      <w:r w:rsidRPr="004A1CE8">
        <w:t>gNB</w:t>
      </w:r>
      <w:proofErr w:type="spellEnd"/>
      <w:r w:rsidRPr="004A1CE8">
        <w:t xml:space="preserve"> CLI may be due to either adjacent-channel CLI or co-channel-CLI, or both, depending on the deployment scenario. One of the problems not addressed in the previous releases is </w:t>
      </w:r>
      <w:proofErr w:type="spellStart"/>
      <w:r w:rsidRPr="004A1CE8">
        <w:t>gNB</w:t>
      </w:r>
      <w:proofErr w:type="spellEnd"/>
      <w:r w:rsidRPr="004A1CE8">
        <w:t>-to-</w:t>
      </w:r>
      <w:proofErr w:type="spellStart"/>
      <w:r w:rsidRPr="004A1CE8">
        <w:t>gNB</w:t>
      </w:r>
      <w:proofErr w:type="spellEnd"/>
      <w:r w:rsidRPr="004A1CE8">
        <w:t xml:space="preserve"> CLI.</w:t>
      </w:r>
    </w:p>
    <w:p w14:paraId="4C5C5309" w14:textId="275B7140" w:rsidR="00227E80" w:rsidRPr="009823A2" w:rsidRDefault="00227E80" w:rsidP="00227E80">
      <w:pPr>
        <w:spacing w:after="120"/>
        <w:rPr>
          <w:lang w:val="en-CA"/>
        </w:rPr>
      </w:pPr>
      <w:r w:rsidRPr="004A1CE8">
        <w:t>This study aims to identify the feasibility and solutions of duplex evolution in the areas outlined above to provide enhanced UL coverage, reduced latency, improved system capacity, and improved configuration flexibility for NR TDD operations in unpaired spectrum. In addition, the regulatory aspects need to be examined for deploying identified duplex enhancements in TDD unpaired spectrum considering potential constraints.</w:t>
      </w:r>
      <w:bookmarkEnd w:id="4"/>
    </w:p>
    <w:p w14:paraId="0CEA6BB8" w14:textId="77777777" w:rsidR="00227E80" w:rsidRPr="009823A2" w:rsidRDefault="00227E80" w:rsidP="009823A2">
      <w:pPr>
        <w:pStyle w:val="2"/>
      </w:pPr>
      <w:r w:rsidRPr="009823A2">
        <w:t>1.2 Objective</w:t>
      </w:r>
    </w:p>
    <w:p w14:paraId="18333774" w14:textId="15375690" w:rsidR="00227E80" w:rsidRPr="004A1CE8" w:rsidRDefault="00227E80" w:rsidP="009823A2">
      <w:pPr>
        <w:pStyle w:val="3"/>
      </w:pPr>
      <w:r w:rsidRPr="004A1CE8">
        <w:t xml:space="preserve">Objective of SI </w:t>
      </w:r>
    </w:p>
    <w:p w14:paraId="7FE32D29" w14:textId="77777777" w:rsidR="00227E80" w:rsidRPr="004A1CE8" w:rsidRDefault="00227E80" w:rsidP="00227E80">
      <w:pPr>
        <w:spacing w:after="120"/>
        <w:ind w:right="-99"/>
        <w:rPr>
          <w:bCs/>
          <w:lang w:eastAsia="ko-KR"/>
        </w:rPr>
      </w:pPr>
      <w:bookmarkStart w:id="5" w:name="_Hlk89819652"/>
      <w:r w:rsidRPr="004A1CE8">
        <w:t>The objective of this study is to identify and evaluate the potential enhancements to support duplex evolution for NR TDD in unpaired spectrum.</w:t>
      </w:r>
    </w:p>
    <w:p w14:paraId="49487DCC" w14:textId="77777777" w:rsidR="00227E80" w:rsidRPr="004A1CE8" w:rsidRDefault="00227E80" w:rsidP="00227E80">
      <w:pPr>
        <w:spacing w:after="120"/>
        <w:ind w:right="-99"/>
        <w:rPr>
          <w:bCs/>
          <w:lang w:eastAsia="ko-KR"/>
        </w:rPr>
      </w:pPr>
    </w:p>
    <w:p w14:paraId="7D0ED758" w14:textId="77777777" w:rsidR="00227E80" w:rsidRPr="004A1CE8" w:rsidRDefault="00227E80" w:rsidP="00227E80">
      <w:pPr>
        <w:spacing w:after="120"/>
        <w:ind w:right="-99"/>
        <w:rPr>
          <w:bCs/>
          <w:lang w:eastAsia="ko-KR"/>
        </w:rPr>
      </w:pPr>
      <w:r w:rsidRPr="004A1CE8">
        <w:rPr>
          <w:bCs/>
          <w:lang w:eastAsia="ko-KR"/>
        </w:rPr>
        <w:t>In this study, the followings are assumed:</w:t>
      </w:r>
    </w:p>
    <w:p w14:paraId="3D683BD0" w14:textId="77777777" w:rsidR="00227E80" w:rsidRPr="004A1CE8" w:rsidRDefault="00227E80" w:rsidP="00227E80">
      <w:pPr>
        <w:numPr>
          <w:ilvl w:val="0"/>
          <w:numId w:val="101"/>
        </w:numPr>
        <w:overflowPunct w:val="0"/>
        <w:autoSpaceDE w:val="0"/>
        <w:autoSpaceDN w:val="0"/>
        <w:adjustRightInd w:val="0"/>
        <w:spacing w:afterLines="0" w:after="120"/>
        <w:jc w:val="both"/>
        <w:textAlignment w:val="baseline"/>
        <w:rPr>
          <w:bCs/>
          <w:lang w:eastAsia="ko-KR"/>
        </w:rPr>
      </w:pPr>
      <w:r w:rsidRPr="004A1CE8">
        <w:rPr>
          <w:rFonts w:eastAsia="Malgun Gothic"/>
          <w:bCs/>
          <w:lang w:eastAsia="ko-KR"/>
        </w:rPr>
        <w:t xml:space="preserve">Duplex enhancement at the </w:t>
      </w:r>
      <w:proofErr w:type="spellStart"/>
      <w:r w:rsidRPr="004A1CE8">
        <w:rPr>
          <w:rFonts w:eastAsia="Malgun Gothic"/>
          <w:bCs/>
          <w:lang w:eastAsia="ko-KR"/>
        </w:rPr>
        <w:t>gNB</w:t>
      </w:r>
      <w:proofErr w:type="spellEnd"/>
      <w:r w:rsidRPr="004A1CE8">
        <w:rPr>
          <w:rFonts w:eastAsia="Malgun Gothic"/>
          <w:bCs/>
          <w:lang w:eastAsia="ko-KR"/>
        </w:rPr>
        <w:t xml:space="preserve"> side</w:t>
      </w:r>
    </w:p>
    <w:p w14:paraId="62CB6351" w14:textId="77777777" w:rsidR="00227E80" w:rsidRPr="004A1CE8" w:rsidRDefault="00227E80" w:rsidP="00227E80">
      <w:pPr>
        <w:numPr>
          <w:ilvl w:val="0"/>
          <w:numId w:val="101"/>
        </w:numPr>
        <w:overflowPunct w:val="0"/>
        <w:autoSpaceDE w:val="0"/>
        <w:autoSpaceDN w:val="0"/>
        <w:adjustRightInd w:val="0"/>
        <w:spacing w:afterLines="0" w:after="120"/>
        <w:jc w:val="both"/>
        <w:textAlignment w:val="baseline"/>
        <w:rPr>
          <w:bCs/>
          <w:lang w:eastAsia="ko-KR"/>
        </w:rPr>
      </w:pPr>
      <w:r w:rsidRPr="004A1CE8">
        <w:rPr>
          <w:rFonts w:eastAsia="Malgun Gothic"/>
          <w:bCs/>
          <w:lang w:eastAsia="ko-KR"/>
        </w:rPr>
        <w:t>Half duplex operation at the UE side</w:t>
      </w:r>
    </w:p>
    <w:p w14:paraId="2FAE0294" w14:textId="77777777" w:rsidR="00227E80" w:rsidRPr="004A1CE8" w:rsidRDefault="00227E80" w:rsidP="00227E80">
      <w:pPr>
        <w:numPr>
          <w:ilvl w:val="0"/>
          <w:numId w:val="101"/>
        </w:numPr>
        <w:overflowPunct w:val="0"/>
        <w:autoSpaceDE w:val="0"/>
        <w:autoSpaceDN w:val="0"/>
        <w:adjustRightInd w:val="0"/>
        <w:spacing w:afterLines="0" w:after="120"/>
        <w:jc w:val="both"/>
        <w:textAlignment w:val="baseline"/>
        <w:rPr>
          <w:bCs/>
          <w:lang w:eastAsia="ko-KR"/>
        </w:rPr>
      </w:pPr>
      <w:r w:rsidRPr="004A1CE8">
        <w:rPr>
          <w:rFonts w:eastAsia="Malgun Gothic"/>
          <w:bCs/>
          <w:lang w:eastAsia="ko-KR"/>
        </w:rPr>
        <w:t>No restriction on frequency ranges</w:t>
      </w:r>
    </w:p>
    <w:p w14:paraId="41A5ADAD" w14:textId="77777777" w:rsidR="00227E80" w:rsidRPr="004A1CE8" w:rsidRDefault="00227E80" w:rsidP="00227E80">
      <w:pPr>
        <w:spacing w:after="120"/>
        <w:ind w:right="-99"/>
        <w:rPr>
          <w:bCs/>
          <w:lang w:eastAsia="ko-KR"/>
        </w:rPr>
      </w:pPr>
    </w:p>
    <w:p w14:paraId="0C048B62" w14:textId="77777777" w:rsidR="00227E80" w:rsidRPr="004A1CE8" w:rsidRDefault="00227E80" w:rsidP="00227E80">
      <w:pPr>
        <w:spacing w:after="120"/>
        <w:ind w:right="-99"/>
        <w:rPr>
          <w:bCs/>
          <w:lang w:eastAsia="ko-KR"/>
        </w:rPr>
      </w:pPr>
      <w:r w:rsidRPr="004A1CE8">
        <w:rPr>
          <w:bCs/>
          <w:lang w:eastAsia="ko-KR"/>
        </w:rPr>
        <w:t>The detailed objectives are as follows:</w:t>
      </w:r>
    </w:p>
    <w:p w14:paraId="2563F7A9" w14:textId="77777777" w:rsidR="00227E80" w:rsidRPr="004A1CE8" w:rsidRDefault="00227E80" w:rsidP="00227E80">
      <w:pPr>
        <w:numPr>
          <w:ilvl w:val="0"/>
          <w:numId w:val="103"/>
        </w:numPr>
        <w:overflowPunct w:val="0"/>
        <w:autoSpaceDE w:val="0"/>
        <w:autoSpaceDN w:val="0"/>
        <w:adjustRightInd w:val="0"/>
        <w:spacing w:afterLines="0" w:after="120"/>
        <w:jc w:val="both"/>
        <w:textAlignment w:val="baseline"/>
      </w:pPr>
      <w:r w:rsidRPr="004A1CE8">
        <w:t>Identify applicable and relevant deployment scenarios (RAN1).</w:t>
      </w:r>
    </w:p>
    <w:p w14:paraId="0720C5B2" w14:textId="77777777" w:rsidR="00227E80" w:rsidRPr="004A1CE8" w:rsidRDefault="00227E80" w:rsidP="00227E80">
      <w:pPr>
        <w:numPr>
          <w:ilvl w:val="0"/>
          <w:numId w:val="103"/>
        </w:numPr>
        <w:overflowPunct w:val="0"/>
        <w:autoSpaceDE w:val="0"/>
        <w:autoSpaceDN w:val="0"/>
        <w:adjustRightInd w:val="0"/>
        <w:spacing w:afterLines="0" w:after="120"/>
        <w:jc w:val="both"/>
        <w:textAlignment w:val="baseline"/>
      </w:pPr>
      <w:r w:rsidRPr="004A1CE8">
        <w:t>Develop evaluation methodology for duplex enhancement (RAN1).</w:t>
      </w:r>
    </w:p>
    <w:p w14:paraId="0F4CF317" w14:textId="77777777" w:rsidR="00227E80" w:rsidRPr="004A1CE8" w:rsidRDefault="00227E80" w:rsidP="00227E80">
      <w:pPr>
        <w:numPr>
          <w:ilvl w:val="0"/>
          <w:numId w:val="103"/>
        </w:numPr>
        <w:overflowPunct w:val="0"/>
        <w:autoSpaceDE w:val="0"/>
        <w:autoSpaceDN w:val="0"/>
        <w:adjustRightInd w:val="0"/>
        <w:spacing w:afterLines="0" w:after="120"/>
        <w:jc w:val="both"/>
        <w:textAlignment w:val="baseline"/>
      </w:pPr>
      <w:r w:rsidRPr="004A1CE8">
        <w:rPr>
          <w:rFonts w:eastAsia="Malgun Gothic"/>
          <w:lang w:eastAsia="ko-KR"/>
        </w:rPr>
        <w:t xml:space="preserve">Study the </w:t>
      </w:r>
      <w:proofErr w:type="spellStart"/>
      <w:r w:rsidRPr="004A1CE8">
        <w:rPr>
          <w:rFonts w:eastAsia="Malgun Gothic"/>
          <w:lang w:eastAsia="ko-KR"/>
        </w:rPr>
        <w:t>subband</w:t>
      </w:r>
      <w:proofErr w:type="spellEnd"/>
      <w:r w:rsidRPr="004A1CE8">
        <w:rPr>
          <w:rFonts w:eastAsia="Malgun Gothic"/>
          <w:lang w:eastAsia="ko-KR"/>
        </w:rPr>
        <w:t xml:space="preserve"> non-overlapping full duplex and </w:t>
      </w:r>
      <w:bookmarkStart w:id="6" w:name="_Hlk89796625"/>
      <w:r w:rsidRPr="004A1CE8">
        <w:rPr>
          <w:rFonts w:eastAsia="Malgun Gothic"/>
          <w:lang w:eastAsia="ko-KR"/>
        </w:rPr>
        <w:t xml:space="preserve">potential enhancements on </w:t>
      </w:r>
      <w:r w:rsidRPr="004A1CE8">
        <w:rPr>
          <w:rFonts w:eastAsia="Malgun Gothic"/>
          <w:bCs/>
          <w:lang w:eastAsia="ko-KR"/>
        </w:rPr>
        <w:t>dynamic/flexible TDD</w:t>
      </w:r>
      <w:bookmarkEnd w:id="6"/>
      <w:r w:rsidRPr="004A1CE8">
        <w:rPr>
          <w:rFonts w:eastAsia="Malgun Gothic"/>
          <w:bCs/>
          <w:lang w:eastAsia="ko-KR"/>
        </w:rPr>
        <w:t xml:space="preserve"> (RAN1, RAN4).</w:t>
      </w:r>
    </w:p>
    <w:p w14:paraId="16168064" w14:textId="77777777" w:rsidR="00227E80" w:rsidRPr="004A1CE8" w:rsidRDefault="00227E80" w:rsidP="00227E80">
      <w:pPr>
        <w:pStyle w:val="ad"/>
        <w:numPr>
          <w:ilvl w:val="0"/>
          <w:numId w:val="102"/>
        </w:numPr>
        <w:overflowPunct w:val="0"/>
        <w:autoSpaceDE w:val="0"/>
        <w:autoSpaceDN w:val="0"/>
        <w:adjustRightInd w:val="0"/>
        <w:spacing w:afterLines="0" w:after="120"/>
        <w:ind w:leftChars="0"/>
        <w:contextualSpacing/>
        <w:jc w:val="both"/>
        <w:textAlignment w:val="baseline"/>
        <w:rPr>
          <w:rFonts w:ascii="Times New Roman" w:eastAsia="Malgun Gothic" w:hAnsi="Times New Roman"/>
          <w:bCs/>
          <w:szCs w:val="20"/>
          <w:lang w:eastAsia="ko-KR"/>
        </w:rPr>
      </w:pPr>
      <w:r w:rsidRPr="004A1CE8">
        <w:rPr>
          <w:rFonts w:ascii="Times New Roman" w:eastAsia="Malgun Gothic" w:hAnsi="Times New Roman"/>
          <w:bCs/>
          <w:szCs w:val="20"/>
          <w:lang w:eastAsia="ko-KR"/>
        </w:rPr>
        <w:t>Identify possible schemes and evaluate their feasibility and performances (RAN1).</w:t>
      </w:r>
    </w:p>
    <w:p w14:paraId="7848374B" w14:textId="77777777" w:rsidR="00227E80" w:rsidRPr="004A1CE8" w:rsidRDefault="00227E80" w:rsidP="00227E80">
      <w:pPr>
        <w:pStyle w:val="ad"/>
        <w:numPr>
          <w:ilvl w:val="0"/>
          <w:numId w:val="102"/>
        </w:numPr>
        <w:overflowPunct w:val="0"/>
        <w:autoSpaceDE w:val="0"/>
        <w:autoSpaceDN w:val="0"/>
        <w:adjustRightInd w:val="0"/>
        <w:spacing w:afterLines="0" w:after="120"/>
        <w:ind w:leftChars="0"/>
        <w:contextualSpacing/>
        <w:jc w:val="both"/>
        <w:textAlignment w:val="baseline"/>
        <w:rPr>
          <w:rFonts w:ascii="Times New Roman" w:eastAsia="Malgun Gothic" w:hAnsi="Times New Roman"/>
          <w:bCs/>
          <w:szCs w:val="20"/>
          <w:lang w:eastAsia="ko-KR"/>
        </w:rPr>
      </w:pPr>
      <w:r w:rsidRPr="004A1CE8">
        <w:rPr>
          <w:rFonts w:ascii="Times New Roman" w:eastAsia="Malgun Gothic" w:hAnsi="Times New Roman"/>
          <w:bCs/>
          <w:szCs w:val="20"/>
          <w:lang w:eastAsia="ko-KR"/>
        </w:rPr>
        <w:t>Study inter-</w:t>
      </w:r>
      <w:proofErr w:type="spellStart"/>
      <w:r w:rsidRPr="004A1CE8">
        <w:rPr>
          <w:rFonts w:ascii="Times New Roman" w:eastAsia="Malgun Gothic" w:hAnsi="Times New Roman"/>
          <w:bCs/>
          <w:szCs w:val="20"/>
          <w:lang w:eastAsia="ko-KR"/>
        </w:rPr>
        <w:t>gNB</w:t>
      </w:r>
      <w:proofErr w:type="spellEnd"/>
      <w:r w:rsidRPr="004A1CE8">
        <w:rPr>
          <w:rFonts w:ascii="Times New Roman" w:eastAsia="Malgun Gothic" w:hAnsi="Times New Roman"/>
          <w:bCs/>
          <w:szCs w:val="20"/>
          <w:lang w:eastAsia="ko-KR"/>
        </w:rPr>
        <w:t xml:space="preserve"> and inter-UE CLI handling and identify solutions to manage them (RAN1). </w:t>
      </w:r>
    </w:p>
    <w:p w14:paraId="057E3694" w14:textId="77777777" w:rsidR="00227E80" w:rsidRPr="004A1CE8" w:rsidRDefault="00227E80" w:rsidP="00227E80">
      <w:pPr>
        <w:pStyle w:val="ad"/>
        <w:numPr>
          <w:ilvl w:val="1"/>
          <w:numId w:val="102"/>
        </w:numPr>
        <w:overflowPunct w:val="0"/>
        <w:autoSpaceDE w:val="0"/>
        <w:autoSpaceDN w:val="0"/>
        <w:adjustRightInd w:val="0"/>
        <w:spacing w:afterLines="0" w:after="120"/>
        <w:ind w:leftChars="0"/>
        <w:contextualSpacing/>
        <w:jc w:val="both"/>
        <w:textAlignment w:val="baseline"/>
        <w:rPr>
          <w:rFonts w:ascii="Times New Roman" w:eastAsia="Malgun Gothic" w:hAnsi="Times New Roman"/>
          <w:bCs/>
          <w:szCs w:val="20"/>
          <w:lang w:eastAsia="ko-KR"/>
        </w:rPr>
      </w:pPr>
      <w:r w:rsidRPr="004A1CE8">
        <w:rPr>
          <w:rFonts w:ascii="Times New Roman" w:eastAsia="Malgun Gothic" w:hAnsi="Times New Roman"/>
          <w:bCs/>
          <w:szCs w:val="20"/>
          <w:lang w:eastAsia="ko-KR"/>
        </w:rPr>
        <w:lastRenderedPageBreak/>
        <w:t>Consider intra-</w:t>
      </w:r>
      <w:proofErr w:type="spellStart"/>
      <w:r w:rsidRPr="004A1CE8">
        <w:rPr>
          <w:rFonts w:ascii="Times New Roman" w:eastAsia="Malgun Gothic" w:hAnsi="Times New Roman"/>
          <w:bCs/>
          <w:szCs w:val="20"/>
          <w:lang w:eastAsia="ko-KR"/>
        </w:rPr>
        <w:t>subband</w:t>
      </w:r>
      <w:proofErr w:type="spellEnd"/>
      <w:r w:rsidRPr="004A1CE8">
        <w:rPr>
          <w:rFonts w:ascii="Times New Roman" w:eastAsia="Malgun Gothic" w:hAnsi="Times New Roman"/>
          <w:bCs/>
          <w:szCs w:val="20"/>
          <w:lang w:eastAsia="ko-KR"/>
        </w:rPr>
        <w:t xml:space="preserve"> CLI and inter-</w:t>
      </w:r>
      <w:proofErr w:type="spellStart"/>
      <w:r w:rsidRPr="004A1CE8">
        <w:rPr>
          <w:rFonts w:ascii="Times New Roman" w:eastAsia="Malgun Gothic" w:hAnsi="Times New Roman"/>
          <w:bCs/>
          <w:szCs w:val="20"/>
          <w:lang w:eastAsia="ko-KR"/>
        </w:rPr>
        <w:t>subband</w:t>
      </w:r>
      <w:proofErr w:type="spellEnd"/>
      <w:r w:rsidRPr="004A1CE8">
        <w:rPr>
          <w:rFonts w:ascii="Times New Roman" w:eastAsia="Malgun Gothic" w:hAnsi="Times New Roman"/>
          <w:bCs/>
          <w:szCs w:val="20"/>
          <w:lang w:eastAsia="ko-KR"/>
        </w:rPr>
        <w:t xml:space="preserve"> CLI in case of the </w:t>
      </w:r>
      <w:proofErr w:type="spellStart"/>
      <w:r w:rsidRPr="004A1CE8">
        <w:rPr>
          <w:rFonts w:ascii="Times New Roman" w:eastAsia="Malgun Gothic" w:hAnsi="Times New Roman"/>
          <w:szCs w:val="20"/>
          <w:lang w:eastAsia="ko-KR"/>
        </w:rPr>
        <w:t>subband</w:t>
      </w:r>
      <w:proofErr w:type="spellEnd"/>
      <w:r w:rsidRPr="004A1CE8">
        <w:rPr>
          <w:rFonts w:ascii="Times New Roman" w:eastAsia="Malgun Gothic" w:hAnsi="Times New Roman"/>
          <w:szCs w:val="20"/>
          <w:lang w:eastAsia="ko-KR"/>
        </w:rPr>
        <w:t xml:space="preserve"> non-overlapping full duplex</w:t>
      </w:r>
      <w:r w:rsidRPr="004A1CE8">
        <w:rPr>
          <w:rFonts w:ascii="Times New Roman" w:eastAsia="Malgun Gothic" w:hAnsi="Times New Roman"/>
          <w:bCs/>
          <w:szCs w:val="20"/>
          <w:lang w:eastAsia="ko-KR"/>
        </w:rPr>
        <w:t>.</w:t>
      </w:r>
    </w:p>
    <w:p w14:paraId="560088D5" w14:textId="77777777" w:rsidR="00227E80" w:rsidRPr="004A1CE8" w:rsidRDefault="00227E80" w:rsidP="00227E80">
      <w:pPr>
        <w:pStyle w:val="ad"/>
        <w:numPr>
          <w:ilvl w:val="0"/>
          <w:numId w:val="102"/>
        </w:numPr>
        <w:overflowPunct w:val="0"/>
        <w:autoSpaceDE w:val="0"/>
        <w:autoSpaceDN w:val="0"/>
        <w:adjustRightInd w:val="0"/>
        <w:spacing w:afterLines="0" w:after="120"/>
        <w:ind w:leftChars="0"/>
        <w:contextualSpacing/>
        <w:jc w:val="both"/>
        <w:textAlignment w:val="baseline"/>
        <w:rPr>
          <w:rFonts w:ascii="Times New Roman" w:eastAsia="Malgun Gothic" w:hAnsi="Times New Roman"/>
          <w:bCs/>
          <w:szCs w:val="20"/>
          <w:lang w:eastAsia="ko-KR"/>
        </w:rPr>
      </w:pPr>
      <w:r w:rsidRPr="004A1CE8">
        <w:rPr>
          <w:rFonts w:ascii="Times New Roman" w:eastAsia="Malgun Gothic" w:hAnsi="Times New Roman"/>
          <w:bCs/>
          <w:szCs w:val="20"/>
          <w:lang w:eastAsia="ko-KR"/>
        </w:rPr>
        <w:t>Study the performance of the identified schemes as well as the impact on legacy operation assuming their co-existence in co-channel and adjacent channels (RAN1).</w:t>
      </w:r>
    </w:p>
    <w:p w14:paraId="6D8E2EA4" w14:textId="77777777" w:rsidR="00227E80" w:rsidRPr="004A1CE8" w:rsidRDefault="00227E80" w:rsidP="00227E80">
      <w:pPr>
        <w:pStyle w:val="ad"/>
        <w:numPr>
          <w:ilvl w:val="0"/>
          <w:numId w:val="102"/>
        </w:numPr>
        <w:overflowPunct w:val="0"/>
        <w:autoSpaceDE w:val="0"/>
        <w:autoSpaceDN w:val="0"/>
        <w:adjustRightInd w:val="0"/>
        <w:spacing w:afterLines="0" w:after="120"/>
        <w:ind w:leftChars="0"/>
        <w:contextualSpacing/>
        <w:textAlignment w:val="baseline"/>
        <w:rPr>
          <w:rFonts w:ascii="Times New Roman" w:eastAsia="Malgun Gothic" w:hAnsi="Times New Roman"/>
          <w:bCs/>
          <w:szCs w:val="20"/>
          <w:lang w:eastAsia="ko-KR"/>
        </w:rPr>
      </w:pPr>
      <w:r w:rsidRPr="004A1CE8">
        <w:rPr>
          <w:rFonts w:ascii="Times New Roman" w:eastAsia="Malgun Gothic" w:hAnsi="Times New Roman"/>
          <w:bCs/>
          <w:szCs w:val="20"/>
          <w:lang w:eastAsia="ko-KR"/>
        </w:rPr>
        <w:t>Study the feasibility of and impact on RF requirements considering adjacent-channel co-existence with the legacy operation (RAN4).</w:t>
      </w:r>
    </w:p>
    <w:p w14:paraId="02A02C90" w14:textId="77777777" w:rsidR="00227E80" w:rsidRPr="004A1CE8" w:rsidRDefault="00227E80" w:rsidP="00227E80">
      <w:pPr>
        <w:pStyle w:val="ad"/>
        <w:numPr>
          <w:ilvl w:val="0"/>
          <w:numId w:val="102"/>
        </w:numPr>
        <w:overflowPunct w:val="0"/>
        <w:autoSpaceDE w:val="0"/>
        <w:autoSpaceDN w:val="0"/>
        <w:adjustRightInd w:val="0"/>
        <w:spacing w:afterLines="0" w:after="120"/>
        <w:ind w:leftChars="0"/>
        <w:contextualSpacing/>
        <w:jc w:val="both"/>
        <w:textAlignment w:val="baseline"/>
        <w:rPr>
          <w:rFonts w:ascii="Times New Roman" w:eastAsia="Malgun Gothic" w:hAnsi="Times New Roman"/>
          <w:bCs/>
          <w:szCs w:val="20"/>
          <w:lang w:eastAsia="ko-KR"/>
        </w:rPr>
      </w:pPr>
      <w:r w:rsidRPr="004A1CE8">
        <w:rPr>
          <w:rFonts w:ascii="Times New Roman" w:eastAsia="Malgun Gothic" w:hAnsi="Times New Roman"/>
          <w:bCs/>
          <w:szCs w:val="20"/>
          <w:lang w:eastAsia="ko-KR"/>
        </w:rPr>
        <w:t>Study the feasibility of and impact on RF requirements considering the self-interference, the inter-</w:t>
      </w:r>
      <w:proofErr w:type="spellStart"/>
      <w:r w:rsidRPr="004A1CE8">
        <w:rPr>
          <w:rFonts w:ascii="Times New Roman" w:eastAsia="Malgun Gothic" w:hAnsi="Times New Roman"/>
          <w:bCs/>
          <w:szCs w:val="20"/>
          <w:lang w:eastAsia="ko-KR"/>
        </w:rPr>
        <w:t>subband</w:t>
      </w:r>
      <w:proofErr w:type="spellEnd"/>
      <w:r w:rsidRPr="004A1CE8">
        <w:rPr>
          <w:rFonts w:ascii="Times New Roman" w:eastAsia="Malgun Gothic" w:hAnsi="Times New Roman"/>
          <w:bCs/>
          <w:szCs w:val="20"/>
          <w:lang w:eastAsia="ko-KR"/>
        </w:rPr>
        <w:t xml:space="preserve"> CLI, and the inter-operator CLI at </w:t>
      </w:r>
      <w:proofErr w:type="spellStart"/>
      <w:r w:rsidRPr="004A1CE8">
        <w:rPr>
          <w:rFonts w:ascii="Times New Roman" w:eastAsia="Malgun Gothic" w:hAnsi="Times New Roman"/>
          <w:bCs/>
          <w:szCs w:val="20"/>
          <w:lang w:eastAsia="ko-KR"/>
        </w:rPr>
        <w:t>gNB</w:t>
      </w:r>
      <w:proofErr w:type="spellEnd"/>
      <w:r w:rsidRPr="004A1CE8">
        <w:rPr>
          <w:rFonts w:ascii="Times New Roman" w:eastAsia="Malgun Gothic" w:hAnsi="Times New Roman"/>
          <w:bCs/>
          <w:szCs w:val="20"/>
          <w:lang w:eastAsia="ko-KR"/>
        </w:rPr>
        <w:t xml:space="preserve"> and the inter-</w:t>
      </w:r>
      <w:proofErr w:type="spellStart"/>
      <w:r w:rsidRPr="004A1CE8">
        <w:rPr>
          <w:rFonts w:ascii="Times New Roman" w:eastAsia="Malgun Gothic" w:hAnsi="Times New Roman"/>
          <w:bCs/>
          <w:szCs w:val="20"/>
          <w:lang w:eastAsia="ko-KR"/>
        </w:rPr>
        <w:t>subband</w:t>
      </w:r>
      <w:proofErr w:type="spellEnd"/>
      <w:r w:rsidRPr="004A1CE8">
        <w:rPr>
          <w:rFonts w:ascii="Times New Roman" w:eastAsia="Malgun Gothic" w:hAnsi="Times New Roman"/>
          <w:bCs/>
          <w:szCs w:val="20"/>
          <w:lang w:eastAsia="ko-KR"/>
        </w:rPr>
        <w:t xml:space="preserve"> CLI and inter-operator CLI at UE (RAN4).</w:t>
      </w:r>
    </w:p>
    <w:p w14:paraId="55DA41D7" w14:textId="77777777" w:rsidR="00227E80" w:rsidRPr="004A1CE8" w:rsidRDefault="00227E80" w:rsidP="00227E80">
      <w:pPr>
        <w:pStyle w:val="ad"/>
        <w:numPr>
          <w:ilvl w:val="0"/>
          <w:numId w:val="104"/>
        </w:numPr>
        <w:overflowPunct w:val="0"/>
        <w:autoSpaceDE w:val="0"/>
        <w:autoSpaceDN w:val="0"/>
        <w:adjustRightInd w:val="0"/>
        <w:spacing w:afterLines="0" w:after="120"/>
        <w:ind w:leftChars="0"/>
        <w:contextualSpacing/>
        <w:jc w:val="both"/>
        <w:textAlignment w:val="baseline"/>
        <w:rPr>
          <w:rFonts w:ascii="Times New Roman" w:eastAsia="Malgun Gothic" w:hAnsi="Times New Roman"/>
          <w:bCs/>
          <w:szCs w:val="20"/>
          <w:lang w:eastAsia="ko-KR"/>
        </w:rPr>
      </w:pPr>
      <w:r w:rsidRPr="004A1CE8">
        <w:rPr>
          <w:rFonts w:ascii="Times New Roman" w:eastAsia="Malgun Gothic" w:hAnsi="Times New Roman"/>
          <w:bCs/>
          <w:szCs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311CB16C" w14:textId="77777777" w:rsidR="00227E80" w:rsidRPr="004A1CE8" w:rsidRDefault="00227E80" w:rsidP="00227E80">
      <w:pPr>
        <w:pStyle w:val="ad"/>
        <w:numPr>
          <w:ilvl w:val="0"/>
          <w:numId w:val="104"/>
        </w:numPr>
        <w:overflowPunct w:val="0"/>
        <w:autoSpaceDE w:val="0"/>
        <w:autoSpaceDN w:val="0"/>
        <w:adjustRightInd w:val="0"/>
        <w:spacing w:afterLines="0" w:after="120"/>
        <w:ind w:leftChars="0"/>
        <w:contextualSpacing/>
        <w:jc w:val="both"/>
        <w:textAlignment w:val="baseline"/>
        <w:rPr>
          <w:rFonts w:ascii="Times New Roman" w:hAnsi="Times New Roman"/>
          <w:szCs w:val="20"/>
        </w:rPr>
      </w:pPr>
      <w:r w:rsidRPr="004A1CE8">
        <w:rPr>
          <w:rFonts w:ascii="Times New Roman" w:hAnsi="Times New Roman"/>
          <w:szCs w:val="20"/>
        </w:rPr>
        <w:t>Summarize the regulatory aspects that have to be considered for deploying the identified duplex enhancements in TDD unpaired spectrum (RAN4).</w:t>
      </w:r>
    </w:p>
    <w:p w14:paraId="34CF3E52" w14:textId="77777777" w:rsidR="00227E80" w:rsidRPr="004A1CE8" w:rsidRDefault="00227E80" w:rsidP="00227E80">
      <w:pPr>
        <w:spacing w:after="120"/>
        <w:rPr>
          <w:bCs/>
          <w:lang w:eastAsia="ko-KR"/>
        </w:rPr>
      </w:pPr>
      <w:r w:rsidRPr="004A1CE8">
        <w:rPr>
          <w:rFonts w:eastAsia="Malgun Gothic"/>
          <w:bCs/>
          <w:lang w:eastAsia="ko-KR"/>
        </w:rPr>
        <w:t xml:space="preserve">Note: For potential enhancements on dynamic/flexible TDD, utilize the outcome of discussion in Rel-15 and Rel-16 while avoiding the repetition of the same discussion. </w:t>
      </w:r>
    </w:p>
    <w:bookmarkEnd w:id="5"/>
    <w:p w14:paraId="0D96B193" w14:textId="77777777" w:rsidR="00227E80" w:rsidRDefault="00227E80" w:rsidP="00227E80">
      <w:pPr>
        <w:overflowPunct w:val="0"/>
        <w:autoSpaceDE w:val="0"/>
        <w:autoSpaceDN w:val="0"/>
        <w:adjustRightInd w:val="0"/>
        <w:spacing w:after="120"/>
        <w:contextualSpacing/>
        <w:textAlignment w:val="baseline"/>
      </w:pPr>
    </w:p>
    <w:p w14:paraId="260D625B" w14:textId="64EB3C0C" w:rsidR="00227E80" w:rsidRPr="009823A2" w:rsidRDefault="00227E80" w:rsidP="009823A2">
      <w:pPr>
        <w:overflowPunct w:val="0"/>
        <w:autoSpaceDE w:val="0"/>
        <w:autoSpaceDN w:val="0"/>
        <w:adjustRightInd w:val="0"/>
        <w:spacing w:after="120"/>
        <w:contextualSpacing/>
        <w:textAlignment w:val="baseline"/>
      </w:pPr>
      <w:r w:rsidRPr="004A06BE">
        <w:t xml:space="preserve">In this contribution, we further provide our considerations </w:t>
      </w:r>
      <w:r>
        <w:t>on p</w:t>
      </w:r>
      <w:r w:rsidRPr="00E316FE">
        <w:rPr>
          <w:rFonts w:eastAsiaTheme="minorEastAsia"/>
          <w:lang w:eastAsia="zh-CN"/>
        </w:rPr>
        <w:t>otential enhancements on dynamic/flexible TDD</w:t>
      </w:r>
      <w:r w:rsidRPr="004A06BE">
        <w:t>.</w:t>
      </w:r>
    </w:p>
    <w:p w14:paraId="3689246B" w14:textId="77777777" w:rsidR="00002749" w:rsidRPr="00957D05" w:rsidRDefault="00002749" w:rsidP="00096FC6">
      <w:pPr>
        <w:pStyle w:val="10"/>
        <w:numPr>
          <w:ilvl w:val="0"/>
          <w:numId w:val="36"/>
        </w:numPr>
      </w:pPr>
      <w:r w:rsidRPr="00957D05">
        <w:rPr>
          <w:rFonts w:hint="eastAsia"/>
        </w:rPr>
        <w:t>Discussion</w:t>
      </w:r>
    </w:p>
    <w:p w14:paraId="4646DBF6" w14:textId="637462D6" w:rsidR="004B72D1" w:rsidRDefault="00600FB2" w:rsidP="00096FC6">
      <w:pPr>
        <w:pStyle w:val="2"/>
        <w:numPr>
          <w:ilvl w:val="1"/>
          <w:numId w:val="36"/>
        </w:numPr>
        <w:rPr>
          <w:rFonts w:eastAsiaTheme="minorEastAsia"/>
          <w:lang w:eastAsia="zh-CN"/>
        </w:rPr>
      </w:pPr>
      <w:r>
        <w:rPr>
          <w:rFonts w:eastAsiaTheme="minorEastAsia"/>
          <w:lang w:eastAsia="zh-CN"/>
        </w:rPr>
        <w:t>Guard period</w:t>
      </w:r>
    </w:p>
    <w:p w14:paraId="305CA5CF" w14:textId="22D573E2" w:rsidR="00415AE5" w:rsidRDefault="004F0732" w:rsidP="00431E5B">
      <w:pPr>
        <w:spacing w:after="120"/>
        <w:ind w:firstLineChars="100" w:firstLine="200"/>
        <w:rPr>
          <w:rFonts w:eastAsia="Malgun Gothic"/>
          <w:bCs/>
          <w:lang w:eastAsia="ko-KR"/>
        </w:rPr>
      </w:pPr>
      <w:r>
        <w:rPr>
          <w:rFonts w:eastAsiaTheme="minorEastAsia" w:hint="eastAsia"/>
          <w:lang w:val="x-none" w:eastAsia="zh-CN"/>
        </w:rPr>
        <w:t>G</w:t>
      </w:r>
      <w:r>
        <w:rPr>
          <w:rFonts w:eastAsiaTheme="minorEastAsia"/>
          <w:lang w:val="x-none" w:eastAsia="zh-CN"/>
        </w:rPr>
        <w:t xml:space="preserve">uard period is used in the legacy TDD for the </w:t>
      </w:r>
      <w:r w:rsidR="00E849D0">
        <w:rPr>
          <w:rFonts w:eastAsiaTheme="minorEastAsia"/>
          <w:lang w:val="x-none" w:eastAsia="zh-CN"/>
        </w:rPr>
        <w:t xml:space="preserve">UL-DL switching and </w:t>
      </w:r>
      <w:r w:rsidR="00E83E78">
        <w:t>compensating for propagation delays</w:t>
      </w:r>
      <w:r w:rsidR="00E849D0">
        <w:rPr>
          <w:rFonts w:eastAsiaTheme="minorEastAsia"/>
          <w:lang w:val="x-none" w:eastAsia="zh-CN"/>
        </w:rPr>
        <w:t xml:space="preserve">. In the </w:t>
      </w:r>
      <w:r w:rsidR="00415AE5">
        <w:rPr>
          <w:rFonts w:eastAsiaTheme="minorEastAsia"/>
          <w:lang w:val="x-none" w:eastAsia="zh-CN"/>
        </w:rPr>
        <w:t>WID of FD</w:t>
      </w:r>
      <w:r w:rsidR="00415AE5" w:rsidRPr="00227E80">
        <w:rPr>
          <w:rFonts w:eastAsia="宋体"/>
        </w:rPr>
        <w:t>[1]</w:t>
      </w:r>
      <w:r w:rsidR="00415AE5">
        <w:rPr>
          <w:rFonts w:eastAsiaTheme="minorEastAsia"/>
          <w:lang w:val="x-none" w:eastAsia="zh-CN"/>
        </w:rPr>
        <w:t xml:space="preserve"> , the </w:t>
      </w:r>
      <w:proofErr w:type="spellStart"/>
      <w:r w:rsidR="00415AE5">
        <w:rPr>
          <w:rFonts w:eastAsiaTheme="minorEastAsia"/>
          <w:lang w:val="x-none" w:eastAsia="zh-CN"/>
        </w:rPr>
        <w:t>gNB</w:t>
      </w:r>
      <w:proofErr w:type="spellEnd"/>
      <w:r w:rsidR="00415AE5">
        <w:rPr>
          <w:rFonts w:eastAsiaTheme="minorEastAsia"/>
          <w:lang w:val="x-none" w:eastAsia="zh-CN"/>
        </w:rPr>
        <w:t xml:space="preserve"> is assumed worked at the FD </w:t>
      </w:r>
      <w:r w:rsidR="00415AE5">
        <w:rPr>
          <w:rFonts w:eastAsiaTheme="minorEastAsia" w:hint="eastAsia"/>
          <w:lang w:val="x-none" w:eastAsia="zh-CN"/>
        </w:rPr>
        <w:t>m</w:t>
      </w:r>
      <w:r w:rsidR="00415AE5">
        <w:rPr>
          <w:rFonts w:eastAsiaTheme="minorEastAsia"/>
          <w:lang w:val="x-none" w:eastAsia="zh-CN"/>
        </w:rPr>
        <w:t>ode, while the UE is assumed worked as the HD mode.</w:t>
      </w:r>
      <w:r w:rsidR="00E83E78">
        <w:rPr>
          <w:rFonts w:eastAsiaTheme="minorEastAsia"/>
          <w:lang w:val="x-none" w:eastAsia="zh-CN"/>
        </w:rPr>
        <w:t xml:space="preserve"> </w:t>
      </w:r>
      <w:proofErr w:type="spellStart"/>
      <w:r w:rsidR="00E83E78">
        <w:rPr>
          <w:rFonts w:eastAsiaTheme="minorEastAsia"/>
          <w:lang w:val="x-none" w:eastAsia="zh-CN"/>
        </w:rPr>
        <w:t>gNB</w:t>
      </w:r>
      <w:proofErr w:type="spellEnd"/>
      <w:r w:rsidR="00E83E78">
        <w:rPr>
          <w:rFonts w:eastAsiaTheme="minorEastAsia"/>
          <w:lang w:val="x-none" w:eastAsia="zh-CN"/>
        </w:rPr>
        <w:t xml:space="preserve"> does not need </w:t>
      </w:r>
      <w:r w:rsidR="00734766">
        <w:rPr>
          <w:rFonts w:eastAsiaTheme="minorEastAsia"/>
          <w:lang w:val="x-none" w:eastAsia="zh-CN"/>
        </w:rPr>
        <w:t xml:space="preserve">GP anymore because the </w:t>
      </w:r>
      <w:proofErr w:type="spellStart"/>
      <w:r w:rsidR="00734766">
        <w:rPr>
          <w:rFonts w:eastAsiaTheme="minorEastAsia"/>
          <w:lang w:val="x-none" w:eastAsia="zh-CN"/>
        </w:rPr>
        <w:t>gNB</w:t>
      </w:r>
      <w:proofErr w:type="spellEnd"/>
      <w:r w:rsidR="00734766">
        <w:rPr>
          <w:rFonts w:eastAsiaTheme="minorEastAsia"/>
          <w:lang w:val="x-none" w:eastAsia="zh-CN"/>
        </w:rPr>
        <w:t xml:space="preserve"> should have</w:t>
      </w:r>
      <w:r w:rsidR="00734766">
        <w:rPr>
          <w:rFonts w:eastAsiaTheme="minorEastAsia" w:hint="eastAsia"/>
          <w:lang w:val="x-none" w:eastAsia="zh-CN"/>
        </w:rPr>
        <w:t xml:space="preserve"> </w:t>
      </w:r>
      <w:r w:rsidR="00734766">
        <w:rPr>
          <w:rFonts w:eastAsiaTheme="minorEastAsia"/>
          <w:lang w:val="x-none" w:eastAsia="zh-CN"/>
        </w:rPr>
        <w:t xml:space="preserve">two chains for handling both DL and UL simultaneously. </w:t>
      </w:r>
      <w:r w:rsidR="00431E5B">
        <w:rPr>
          <w:rFonts w:eastAsiaTheme="minorEastAsia"/>
          <w:lang w:val="x-none" w:eastAsia="zh-CN"/>
        </w:rPr>
        <w:t>However, the UE can only handle DL or UL at the same time. Therefore, the GP shall be reserved for HD UE.</w:t>
      </w:r>
    </w:p>
    <w:p w14:paraId="313281D1" w14:textId="5471FFD3" w:rsidR="00415AE5" w:rsidRPr="00600FB2" w:rsidRDefault="00431E5B" w:rsidP="004F0732">
      <w:pPr>
        <w:spacing w:after="120"/>
        <w:rPr>
          <w:rFonts w:eastAsia="Malgun Gothic"/>
          <w:b/>
          <w:bCs/>
          <w:lang w:eastAsia="ko-KR"/>
        </w:rPr>
      </w:pPr>
      <w:r w:rsidRPr="00600FB2">
        <w:rPr>
          <w:rFonts w:eastAsia="Malgun Gothic"/>
          <w:b/>
          <w:bCs/>
          <w:lang w:eastAsia="ko-KR"/>
        </w:rPr>
        <w:t xml:space="preserve">Observation 1: GP shall be reserved for the purpose of HF UE even the </w:t>
      </w:r>
      <w:proofErr w:type="spellStart"/>
      <w:r w:rsidRPr="00600FB2">
        <w:rPr>
          <w:rFonts w:eastAsia="Malgun Gothic"/>
          <w:b/>
          <w:bCs/>
          <w:lang w:eastAsia="ko-KR"/>
        </w:rPr>
        <w:t>gNB</w:t>
      </w:r>
      <w:proofErr w:type="spellEnd"/>
      <w:r w:rsidRPr="00600FB2">
        <w:rPr>
          <w:rFonts w:eastAsia="Malgun Gothic"/>
          <w:b/>
          <w:bCs/>
          <w:lang w:eastAsia="ko-KR"/>
        </w:rPr>
        <w:t xml:space="preserve"> works in the FD mode.</w:t>
      </w:r>
    </w:p>
    <w:p w14:paraId="66F20DDA" w14:textId="48307459" w:rsidR="00573834" w:rsidRDefault="00573834" w:rsidP="00573834">
      <w:pPr>
        <w:pStyle w:val="2"/>
        <w:numPr>
          <w:ilvl w:val="1"/>
          <w:numId w:val="36"/>
        </w:numPr>
        <w:rPr>
          <w:rFonts w:eastAsiaTheme="minorEastAsia"/>
          <w:lang w:eastAsia="zh-CN"/>
        </w:rPr>
      </w:pPr>
      <w:r w:rsidRPr="00573834">
        <w:rPr>
          <w:rFonts w:eastAsiaTheme="minorEastAsia"/>
          <w:lang w:eastAsia="zh-CN"/>
        </w:rPr>
        <w:t>Frame structure configurations in FD mode</w:t>
      </w:r>
    </w:p>
    <w:p w14:paraId="17717414" w14:textId="3F06E1D7" w:rsidR="00893D6B" w:rsidRPr="00893D6B" w:rsidRDefault="00893D6B" w:rsidP="00F118FB">
      <w:pPr>
        <w:spacing w:after="120"/>
        <w:ind w:firstLineChars="100" w:firstLine="200"/>
        <w:rPr>
          <w:lang w:val="x-none"/>
        </w:rPr>
      </w:pPr>
      <w:r w:rsidRPr="00893D6B">
        <w:t>This contribution introduces the frame structure configurations in the full duplex (FD) mode,</w:t>
      </w:r>
      <w:r w:rsidR="00EB3310">
        <w:t xml:space="preserve"> where the FD symbol can be configured implicitly or explicitly. For the former one, the flexible symbol is used as FD symbol, for the latter one, </w:t>
      </w:r>
      <w:r w:rsidR="004C4540">
        <w:t>a dedicated</w:t>
      </w:r>
      <w:r w:rsidR="00EB3310">
        <w:t xml:space="preserve"> consecutive </w:t>
      </w:r>
      <w:r w:rsidR="004C4540">
        <w:t>symbols are explicitly configured as FD symbol.</w:t>
      </w:r>
    </w:p>
    <w:p w14:paraId="277143F6" w14:textId="080AFD54" w:rsidR="0027409C" w:rsidRDefault="00893D6B" w:rsidP="00FD6A7C">
      <w:pPr>
        <w:pStyle w:val="3"/>
      </w:pPr>
      <w:r>
        <w:t>Flexible</w:t>
      </w:r>
      <w:r w:rsidR="004C4540">
        <w:t xml:space="preserve"> symbol as FD symbol</w:t>
      </w:r>
    </w:p>
    <w:p w14:paraId="7EC2011C" w14:textId="22F6950D" w:rsidR="00314388" w:rsidRDefault="00F118FB" w:rsidP="00F118FB">
      <w:pPr>
        <w:spacing w:before="240" w:after="120"/>
        <w:ind w:firstLineChars="100" w:firstLine="200"/>
        <w:rPr>
          <w:lang w:val="en-GB"/>
        </w:rPr>
      </w:pPr>
      <w:r>
        <w:rPr>
          <w:lang w:val="en-GB"/>
        </w:rPr>
        <w:t>In the legacy TDD, the symbol can be configured to Flexible</w:t>
      </w:r>
      <w:r w:rsidR="00923621">
        <w:rPr>
          <w:lang w:val="en-GB"/>
        </w:rPr>
        <w:t xml:space="preserve">, and </w:t>
      </w:r>
      <w:r>
        <w:rPr>
          <w:lang w:val="en-GB"/>
        </w:rPr>
        <w:t xml:space="preserve">the flexible symbol can be used as DL, UL or GP. For backward compatibility with the legacy TDD, the functionality of the flexible symbol can be extended, which means the flexible symbol can be used as </w:t>
      </w:r>
      <w:r w:rsidR="002C0E59">
        <w:rPr>
          <w:lang w:val="en-GB"/>
        </w:rPr>
        <w:t xml:space="preserve">DL, UL, GP and </w:t>
      </w:r>
      <w:r>
        <w:rPr>
          <w:lang w:val="en-GB"/>
        </w:rPr>
        <w:t xml:space="preserve">FD symbol. </w:t>
      </w:r>
      <w:r w:rsidR="00314388">
        <w:rPr>
          <w:lang w:val="en-GB"/>
        </w:rPr>
        <w:t xml:space="preserve">From </w:t>
      </w:r>
      <w:proofErr w:type="spellStart"/>
      <w:r w:rsidR="00314388">
        <w:rPr>
          <w:lang w:val="en-GB"/>
        </w:rPr>
        <w:t>gNB</w:t>
      </w:r>
      <w:proofErr w:type="spellEnd"/>
      <w:r w:rsidR="00314388">
        <w:rPr>
          <w:lang w:val="en-GB"/>
        </w:rPr>
        <w:t xml:space="preserve"> perspective, some sub-bands in the F symbol can be used for DL, the other sub-bands can be used for UL. For UE, the whole </w:t>
      </w:r>
      <w:r w:rsidR="00E6524D">
        <w:rPr>
          <w:lang w:val="en-GB"/>
        </w:rPr>
        <w:t>F symbol is only for one direction.</w:t>
      </w:r>
      <w:r w:rsidR="00314388">
        <w:rPr>
          <w:lang w:val="en-GB"/>
        </w:rPr>
        <w:t xml:space="preserve"> </w:t>
      </w:r>
      <w:r w:rsidR="003918D5">
        <w:rPr>
          <w:lang w:val="en-GB"/>
        </w:rPr>
        <w:t>Figure 1 shows the frame structure in the FD mode, where the flexible symbols are used as FD symbols.</w:t>
      </w:r>
    </w:p>
    <w:p w14:paraId="14788CAE" w14:textId="27DB28B6" w:rsidR="009718D7" w:rsidRDefault="009718D7" w:rsidP="009718D7">
      <w:pPr>
        <w:spacing w:before="240" w:after="120"/>
        <w:jc w:val="center"/>
        <w:rPr>
          <w:lang w:val="en-GB"/>
        </w:rPr>
      </w:pPr>
      <w:r>
        <w:rPr>
          <w:noProof/>
          <w:lang w:eastAsia="zh-CN"/>
        </w:rPr>
        <w:drawing>
          <wp:inline distT="0" distB="0" distL="0" distR="0" wp14:anchorId="5F5A392B" wp14:editId="727A8623">
            <wp:extent cx="3344004" cy="865161"/>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95637" cy="878519"/>
                    </a:xfrm>
                    <a:prstGeom prst="rect">
                      <a:avLst/>
                    </a:prstGeom>
                    <a:noFill/>
                  </pic:spPr>
                </pic:pic>
              </a:graphicData>
            </a:graphic>
          </wp:inline>
        </w:drawing>
      </w:r>
    </w:p>
    <w:p w14:paraId="6178E68C" w14:textId="7AE02A08" w:rsidR="009718D7" w:rsidRDefault="009718D7" w:rsidP="009718D7">
      <w:pPr>
        <w:spacing w:before="240" w:after="120"/>
        <w:jc w:val="center"/>
        <w:rPr>
          <w:lang w:val="en-GB"/>
        </w:rPr>
      </w:pPr>
      <w:r>
        <w:rPr>
          <w:rFonts w:hint="eastAsia"/>
          <w:lang w:val="en-GB"/>
        </w:rPr>
        <w:t>Figure 1. Frame structure in FD mode</w:t>
      </w:r>
    </w:p>
    <w:p w14:paraId="49950330" w14:textId="14AC898B" w:rsidR="008C5157" w:rsidRDefault="008C5157" w:rsidP="00D0531E">
      <w:pPr>
        <w:spacing w:after="120"/>
        <w:rPr>
          <w:rFonts w:eastAsiaTheme="minorEastAsia"/>
          <w:lang w:val="en-GB" w:eastAsia="zh-CN"/>
        </w:rPr>
      </w:pPr>
      <w:r>
        <w:rPr>
          <w:rFonts w:eastAsiaTheme="minorEastAsia" w:hint="eastAsia"/>
          <w:lang w:val="en-GB" w:eastAsia="zh-CN"/>
        </w:rPr>
        <w:t xml:space="preserve">  </w:t>
      </w:r>
      <w:r>
        <w:rPr>
          <w:rFonts w:eastAsiaTheme="minorEastAsia"/>
          <w:lang w:val="en-GB" w:eastAsia="zh-CN"/>
        </w:rPr>
        <w:t xml:space="preserve"> </w:t>
      </w:r>
      <w:r w:rsidR="001D0844">
        <w:rPr>
          <w:rFonts w:eastAsiaTheme="minorEastAsia"/>
          <w:lang w:val="en-GB" w:eastAsia="zh-CN"/>
        </w:rPr>
        <w:t xml:space="preserve">As by WID in [1], </w:t>
      </w:r>
      <w:r w:rsidR="001D0844">
        <w:rPr>
          <w:rFonts w:eastAsia="Malgun Gothic"/>
          <w:bCs/>
          <w:lang w:eastAsia="ko-KR"/>
        </w:rPr>
        <w:t>f</w:t>
      </w:r>
      <w:r w:rsidR="001D0844" w:rsidRPr="004A1CE8">
        <w:rPr>
          <w:rFonts w:eastAsia="Malgun Gothic"/>
          <w:bCs/>
          <w:lang w:eastAsia="ko-KR"/>
        </w:rPr>
        <w:t xml:space="preserve">or potential enhancements on dynamic/flexible TDD, utilize the outcome of discussion in Rel-15 and Rel-16 while avoiding the repetition of the same discussion. </w:t>
      </w:r>
      <w:r w:rsidR="001D0844">
        <w:rPr>
          <w:rFonts w:eastAsia="Malgun Gothic"/>
          <w:bCs/>
          <w:lang w:eastAsia="ko-KR"/>
        </w:rPr>
        <w:t xml:space="preserve">For the </w:t>
      </w:r>
      <w:r>
        <w:rPr>
          <w:rFonts w:eastAsiaTheme="minorEastAsia" w:hint="eastAsia"/>
          <w:lang w:val="en-GB" w:eastAsia="zh-CN"/>
        </w:rPr>
        <w:t xml:space="preserve">frame structure </w:t>
      </w:r>
      <w:r>
        <w:rPr>
          <w:rFonts w:eastAsiaTheme="minorEastAsia"/>
          <w:lang w:val="en-GB" w:eastAsia="zh-CN"/>
        </w:rPr>
        <w:t>configuration</w:t>
      </w:r>
      <w:r>
        <w:rPr>
          <w:rFonts w:eastAsiaTheme="minorEastAsia" w:hint="eastAsia"/>
          <w:lang w:val="en-GB" w:eastAsia="zh-CN"/>
        </w:rPr>
        <w:t xml:space="preserve"> </w:t>
      </w:r>
      <w:r w:rsidR="001D0844">
        <w:rPr>
          <w:rFonts w:eastAsiaTheme="minorEastAsia"/>
          <w:lang w:val="en-GB" w:eastAsia="zh-CN"/>
        </w:rPr>
        <w:t>in FD mode,</w:t>
      </w:r>
      <w:r>
        <w:rPr>
          <w:rFonts w:eastAsiaTheme="minorEastAsia"/>
          <w:lang w:val="en-GB" w:eastAsia="zh-CN"/>
        </w:rPr>
        <w:t xml:space="preserve"> the semi-static configuration and dynamic indication by DCI format 2_0 </w:t>
      </w:r>
      <w:r w:rsidR="0060728C">
        <w:rPr>
          <w:rFonts w:eastAsiaTheme="minorEastAsia"/>
          <w:lang w:val="en-GB" w:eastAsia="zh-CN"/>
        </w:rPr>
        <w:t xml:space="preserve"> in the legacy TDD mode </w:t>
      </w:r>
      <w:r w:rsidR="00111AF7">
        <w:rPr>
          <w:rFonts w:eastAsiaTheme="minorEastAsia"/>
          <w:lang w:val="en-GB" w:eastAsia="zh-CN"/>
        </w:rPr>
        <w:t>can be re</w:t>
      </w:r>
      <w:r>
        <w:rPr>
          <w:rFonts w:eastAsiaTheme="minorEastAsia"/>
          <w:lang w:val="en-GB" w:eastAsia="zh-CN"/>
        </w:rPr>
        <w:t xml:space="preserve">used. </w:t>
      </w:r>
    </w:p>
    <w:p w14:paraId="43995A58" w14:textId="2C9B921B" w:rsidR="00D0531E" w:rsidRPr="00600FB2" w:rsidRDefault="00F118FB" w:rsidP="00D0531E">
      <w:pPr>
        <w:spacing w:after="120"/>
        <w:rPr>
          <w:rFonts w:eastAsiaTheme="minorEastAsia"/>
          <w:b/>
          <w:lang w:val="en-GB" w:eastAsia="zh-CN"/>
        </w:rPr>
      </w:pPr>
      <w:r w:rsidRPr="00600FB2">
        <w:rPr>
          <w:rFonts w:eastAsiaTheme="minorEastAsia" w:hint="eastAsia"/>
          <w:b/>
          <w:lang w:val="en-GB" w:eastAsia="zh-CN"/>
        </w:rPr>
        <w:lastRenderedPageBreak/>
        <w:t>P</w:t>
      </w:r>
      <w:r w:rsidRPr="00600FB2">
        <w:rPr>
          <w:rFonts w:eastAsiaTheme="minorEastAsia"/>
          <w:b/>
          <w:lang w:val="en-GB" w:eastAsia="zh-CN"/>
        </w:rPr>
        <w:t>roposal 1:</w:t>
      </w:r>
      <w:r w:rsidR="002C0E59" w:rsidRPr="00600FB2">
        <w:rPr>
          <w:rFonts w:eastAsiaTheme="minorEastAsia"/>
          <w:b/>
          <w:lang w:val="en-GB" w:eastAsia="zh-CN"/>
        </w:rPr>
        <w:t xml:space="preserve">  Extend the functionality of</w:t>
      </w:r>
      <w:r w:rsidRPr="00600FB2">
        <w:rPr>
          <w:rFonts w:eastAsiaTheme="minorEastAsia"/>
          <w:b/>
          <w:lang w:val="en-GB" w:eastAsia="zh-CN"/>
        </w:rPr>
        <w:t xml:space="preserve"> </w:t>
      </w:r>
      <w:r w:rsidR="002C0E59" w:rsidRPr="00600FB2">
        <w:rPr>
          <w:rFonts w:eastAsiaTheme="minorEastAsia"/>
          <w:b/>
          <w:lang w:val="en-GB" w:eastAsia="zh-CN"/>
        </w:rPr>
        <w:t>flexible symbol for supporting FD</w:t>
      </w:r>
      <w:r w:rsidR="00111AF7" w:rsidRPr="00600FB2">
        <w:rPr>
          <w:rFonts w:eastAsiaTheme="minorEastAsia"/>
          <w:b/>
          <w:lang w:val="en-GB" w:eastAsia="zh-CN"/>
        </w:rPr>
        <w:t xml:space="preserve">, and the frame structure configuration mechanism in legacy TDD can be reused. </w:t>
      </w:r>
    </w:p>
    <w:p w14:paraId="4CDDA550" w14:textId="78C3AB70" w:rsidR="002C0E59" w:rsidRDefault="004C4540" w:rsidP="007B6D98">
      <w:pPr>
        <w:pStyle w:val="3"/>
      </w:pPr>
      <w:r>
        <w:t xml:space="preserve">Dedicated </w:t>
      </w:r>
      <w:r w:rsidR="007B6D98" w:rsidRPr="007B6D98">
        <w:rPr>
          <w:rFonts w:hint="eastAsia"/>
        </w:rPr>
        <w:t>F</w:t>
      </w:r>
      <w:r w:rsidR="007B6D98" w:rsidRPr="007B6D98">
        <w:t xml:space="preserve">D </w:t>
      </w:r>
      <w:r>
        <w:t>symbol</w:t>
      </w:r>
    </w:p>
    <w:p w14:paraId="1CB26F09" w14:textId="0B97CB7F" w:rsidR="007B6D98" w:rsidRPr="007B6D98" w:rsidRDefault="000E02DC" w:rsidP="007B6D98">
      <w:pPr>
        <w:spacing w:after="120"/>
        <w:rPr>
          <w:rFonts w:eastAsiaTheme="minorEastAsia"/>
          <w:lang w:eastAsia="zh-CN"/>
        </w:rPr>
      </w:pPr>
      <w:r>
        <w:rPr>
          <w:rFonts w:eastAsiaTheme="minorEastAsia" w:hint="eastAsia"/>
          <w:lang w:eastAsia="zh-CN"/>
        </w:rPr>
        <w:t xml:space="preserve">  </w:t>
      </w:r>
      <w:r w:rsidR="00A40377">
        <w:rPr>
          <w:rFonts w:eastAsiaTheme="minorEastAsia"/>
          <w:lang w:eastAsia="zh-CN"/>
        </w:rPr>
        <w:t>Too much flexible symbol</w:t>
      </w:r>
      <w:r w:rsidR="003B774D">
        <w:rPr>
          <w:rFonts w:eastAsiaTheme="minorEastAsia"/>
          <w:lang w:eastAsia="zh-CN"/>
        </w:rPr>
        <w:t>s</w:t>
      </w:r>
      <w:r w:rsidR="00A40377">
        <w:rPr>
          <w:rFonts w:eastAsiaTheme="minorEastAsia"/>
          <w:lang w:eastAsia="zh-CN"/>
        </w:rPr>
        <w:t xml:space="preserve"> in the frame structure </w:t>
      </w:r>
      <w:r w:rsidR="003B774D">
        <w:rPr>
          <w:rFonts w:eastAsiaTheme="minorEastAsia"/>
          <w:lang w:eastAsia="zh-CN"/>
        </w:rPr>
        <w:t xml:space="preserve">will </w:t>
      </w:r>
      <w:r w:rsidR="00A40377">
        <w:rPr>
          <w:rFonts w:eastAsiaTheme="minorEastAsia"/>
          <w:lang w:eastAsia="zh-CN"/>
        </w:rPr>
        <w:t>introduce the scheduling complexity</w:t>
      </w:r>
      <w:r w:rsidR="00782429">
        <w:rPr>
          <w:rFonts w:eastAsiaTheme="minorEastAsia"/>
          <w:lang w:eastAsia="zh-CN"/>
        </w:rPr>
        <w:t xml:space="preserve"> in the FD mode</w:t>
      </w:r>
      <w:r w:rsidR="00A40377">
        <w:rPr>
          <w:rFonts w:eastAsiaTheme="minorEastAsia"/>
          <w:lang w:eastAsia="zh-CN"/>
        </w:rPr>
        <w:t>.</w:t>
      </w:r>
      <w:r w:rsidR="00782429">
        <w:rPr>
          <w:rFonts w:eastAsiaTheme="minorEastAsia"/>
          <w:lang w:eastAsia="zh-CN"/>
        </w:rPr>
        <w:t xml:space="preserve"> </w:t>
      </w:r>
      <w:r w:rsidR="001D0844">
        <w:rPr>
          <w:rFonts w:eastAsiaTheme="minorEastAsia"/>
          <w:lang w:eastAsia="zh-CN"/>
        </w:rPr>
        <w:t xml:space="preserve">A number of dedicated </w:t>
      </w:r>
      <w:r w:rsidR="00782429">
        <w:rPr>
          <w:rFonts w:eastAsiaTheme="minorEastAsia"/>
          <w:lang w:eastAsia="zh-CN"/>
        </w:rPr>
        <w:t>symbols can be configured as t</w:t>
      </w:r>
      <w:r>
        <w:rPr>
          <w:rFonts w:eastAsiaTheme="minorEastAsia" w:hint="eastAsia"/>
          <w:lang w:eastAsia="zh-CN"/>
        </w:rPr>
        <w:t>he FD symbols</w:t>
      </w:r>
      <w:r w:rsidR="001D0844">
        <w:rPr>
          <w:rFonts w:eastAsiaTheme="minorEastAsia"/>
          <w:lang w:eastAsia="zh-CN"/>
        </w:rPr>
        <w:t xml:space="preserve"> in legacy TDD frame structure. As shown in Figure2, symbols #10-#13 in slot1 and symbols #0-#4 in slot2 are configured as FD symbol. </w:t>
      </w:r>
    </w:p>
    <w:tbl>
      <w:tblPr>
        <w:tblW w:w="8804" w:type="dxa"/>
        <w:tblLayout w:type="fixed"/>
        <w:tblCellMar>
          <w:left w:w="0" w:type="dxa"/>
          <w:right w:w="0" w:type="dxa"/>
        </w:tblCellMar>
        <w:tblLook w:val="0600" w:firstRow="0" w:lastRow="0" w:firstColumn="0" w:lastColumn="0" w:noHBand="1" w:noVBand="1"/>
      </w:tblPr>
      <w:tblGrid>
        <w:gridCol w:w="209"/>
        <w:gridCol w:w="210"/>
        <w:gridCol w:w="209"/>
        <w:gridCol w:w="210"/>
        <w:gridCol w:w="210"/>
        <w:gridCol w:w="209"/>
        <w:gridCol w:w="210"/>
        <w:gridCol w:w="209"/>
        <w:gridCol w:w="210"/>
        <w:gridCol w:w="210"/>
        <w:gridCol w:w="209"/>
        <w:gridCol w:w="210"/>
        <w:gridCol w:w="210"/>
        <w:gridCol w:w="209"/>
        <w:gridCol w:w="210"/>
        <w:gridCol w:w="209"/>
        <w:gridCol w:w="210"/>
        <w:gridCol w:w="210"/>
        <w:gridCol w:w="209"/>
        <w:gridCol w:w="210"/>
        <w:gridCol w:w="210"/>
        <w:gridCol w:w="209"/>
        <w:gridCol w:w="210"/>
        <w:gridCol w:w="209"/>
        <w:gridCol w:w="210"/>
        <w:gridCol w:w="210"/>
        <w:gridCol w:w="209"/>
        <w:gridCol w:w="210"/>
        <w:gridCol w:w="209"/>
        <w:gridCol w:w="210"/>
        <w:gridCol w:w="210"/>
        <w:gridCol w:w="209"/>
        <w:gridCol w:w="210"/>
        <w:gridCol w:w="210"/>
        <w:gridCol w:w="209"/>
        <w:gridCol w:w="210"/>
        <w:gridCol w:w="209"/>
        <w:gridCol w:w="210"/>
        <w:gridCol w:w="210"/>
        <w:gridCol w:w="209"/>
        <w:gridCol w:w="210"/>
        <w:gridCol w:w="210"/>
      </w:tblGrid>
      <w:tr w:rsidR="001D0844" w:rsidRPr="001D0844" w14:paraId="042A97E4" w14:textId="77777777" w:rsidTr="001D0844">
        <w:trPr>
          <w:trHeight w:val="361"/>
        </w:trPr>
        <w:tc>
          <w:tcPr>
            <w:tcW w:w="2934" w:type="dxa"/>
            <w:gridSpan w:val="1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007D6C" w14:textId="77777777" w:rsidR="001D0844" w:rsidRPr="001D0844" w:rsidRDefault="001D0844" w:rsidP="001D0844">
            <w:pPr>
              <w:spacing w:afterLines="0" w:after="120"/>
              <w:jc w:val="center"/>
              <w:textAlignment w:val="center"/>
              <w:rPr>
                <w:rFonts w:ascii="Arial" w:eastAsia="宋体" w:hAnsi="Arial" w:cs="Arial"/>
                <w:sz w:val="16"/>
                <w:szCs w:val="16"/>
                <w:lang w:eastAsia="zh-CN"/>
              </w:rPr>
            </w:pPr>
            <w:r w:rsidRPr="001D0844">
              <w:rPr>
                <w:rFonts w:ascii="宋体" w:eastAsia="宋体" w:hAnsi="宋体" w:cs="Arial" w:hint="eastAsia"/>
                <w:color w:val="000000"/>
                <w:kern w:val="24"/>
                <w:sz w:val="16"/>
                <w:szCs w:val="16"/>
                <w:lang w:eastAsia="zh-CN"/>
              </w:rPr>
              <w:t>Slot 0</w:t>
            </w:r>
          </w:p>
        </w:tc>
        <w:tc>
          <w:tcPr>
            <w:tcW w:w="2935" w:type="dxa"/>
            <w:gridSpan w:val="1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D89237"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ascii="宋体" w:eastAsia="宋体" w:hAnsi="宋体" w:cs="Arial" w:hint="eastAsia"/>
                <w:color w:val="000000"/>
                <w:kern w:val="24"/>
                <w:sz w:val="16"/>
                <w:szCs w:val="16"/>
                <w:lang w:eastAsia="zh-CN"/>
              </w:rPr>
              <w:t>Slot 1</w:t>
            </w:r>
          </w:p>
        </w:tc>
        <w:tc>
          <w:tcPr>
            <w:tcW w:w="2935" w:type="dxa"/>
            <w:gridSpan w:val="1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6E3D18"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ascii="宋体" w:eastAsia="宋体" w:hAnsi="宋体" w:cs="Arial" w:hint="eastAsia"/>
                <w:color w:val="000000"/>
                <w:kern w:val="24"/>
                <w:sz w:val="16"/>
                <w:szCs w:val="16"/>
                <w:lang w:eastAsia="zh-CN"/>
              </w:rPr>
              <w:t>Slot 2</w:t>
            </w:r>
          </w:p>
        </w:tc>
      </w:tr>
      <w:tr w:rsidR="001D0844" w:rsidRPr="001D0844" w14:paraId="0FBE36D9" w14:textId="77777777" w:rsidTr="001D0844">
        <w:trPr>
          <w:trHeight w:val="361"/>
        </w:trPr>
        <w:tc>
          <w:tcPr>
            <w:tcW w:w="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11B4F5"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0</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F57FE82"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1</w:t>
            </w:r>
          </w:p>
        </w:tc>
        <w:tc>
          <w:tcPr>
            <w:tcW w:w="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CBA374"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2</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4A9E5E"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3</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AA2E20"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4</w:t>
            </w:r>
          </w:p>
        </w:tc>
        <w:tc>
          <w:tcPr>
            <w:tcW w:w="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B86162"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5</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7CCBB1"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6</w:t>
            </w:r>
          </w:p>
        </w:tc>
        <w:tc>
          <w:tcPr>
            <w:tcW w:w="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9EE5AC"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7</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DDBCF1"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8</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A65201"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9</w:t>
            </w:r>
          </w:p>
        </w:tc>
        <w:tc>
          <w:tcPr>
            <w:tcW w:w="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A4ABC7"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10</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5EF313"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11</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9FC418"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12</w:t>
            </w:r>
          </w:p>
        </w:tc>
        <w:tc>
          <w:tcPr>
            <w:tcW w:w="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329C4C"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13</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A2BF56"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0</w:t>
            </w:r>
          </w:p>
        </w:tc>
        <w:tc>
          <w:tcPr>
            <w:tcW w:w="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933B21"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1</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50489C"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2</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FE90E5"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3</w:t>
            </w:r>
          </w:p>
        </w:tc>
        <w:tc>
          <w:tcPr>
            <w:tcW w:w="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095D5C"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4</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F4F66CB"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5</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274CEB"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6</w:t>
            </w:r>
          </w:p>
        </w:tc>
        <w:tc>
          <w:tcPr>
            <w:tcW w:w="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BE9EAD"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7</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DA1B61"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8</w:t>
            </w:r>
          </w:p>
        </w:tc>
        <w:tc>
          <w:tcPr>
            <w:tcW w:w="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592B7C"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9</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E60652"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10</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8D3C34"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11</w:t>
            </w:r>
          </w:p>
        </w:tc>
        <w:tc>
          <w:tcPr>
            <w:tcW w:w="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4B4425"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12</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82348E"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13</w:t>
            </w:r>
          </w:p>
        </w:tc>
        <w:tc>
          <w:tcPr>
            <w:tcW w:w="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2701D4"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0</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7DFE7B"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1</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D986DB4"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2</w:t>
            </w:r>
          </w:p>
        </w:tc>
        <w:tc>
          <w:tcPr>
            <w:tcW w:w="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B574FE"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3</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5635FA"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4</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617B7C"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5</w:t>
            </w:r>
          </w:p>
        </w:tc>
        <w:tc>
          <w:tcPr>
            <w:tcW w:w="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7CAF859"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6</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0A63FEE"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7</w:t>
            </w:r>
          </w:p>
        </w:tc>
        <w:tc>
          <w:tcPr>
            <w:tcW w:w="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EF5FE1"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8</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3E3373"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9</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488E3B"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10</w:t>
            </w:r>
          </w:p>
        </w:tc>
        <w:tc>
          <w:tcPr>
            <w:tcW w:w="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8543E7"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11</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8ABFED"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12</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F193C2"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13</w:t>
            </w:r>
          </w:p>
        </w:tc>
      </w:tr>
      <w:tr w:rsidR="006C06CC" w:rsidRPr="001D0844" w14:paraId="6C26B220" w14:textId="77777777" w:rsidTr="001D0844">
        <w:trPr>
          <w:trHeight w:val="1001"/>
        </w:trPr>
        <w:tc>
          <w:tcPr>
            <w:tcW w:w="209"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0F4ACD3F"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D</w:t>
            </w:r>
          </w:p>
        </w:tc>
        <w:tc>
          <w:tcPr>
            <w:tcW w:w="21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43B09605"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D</w:t>
            </w:r>
          </w:p>
        </w:tc>
        <w:tc>
          <w:tcPr>
            <w:tcW w:w="209"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8781721"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D</w:t>
            </w:r>
          </w:p>
        </w:tc>
        <w:tc>
          <w:tcPr>
            <w:tcW w:w="21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21C3A9B"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D</w:t>
            </w:r>
          </w:p>
        </w:tc>
        <w:tc>
          <w:tcPr>
            <w:tcW w:w="21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7001428B"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D</w:t>
            </w:r>
          </w:p>
        </w:tc>
        <w:tc>
          <w:tcPr>
            <w:tcW w:w="209"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7B62C075"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D</w:t>
            </w:r>
          </w:p>
        </w:tc>
        <w:tc>
          <w:tcPr>
            <w:tcW w:w="21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167E5359"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D</w:t>
            </w:r>
          </w:p>
        </w:tc>
        <w:tc>
          <w:tcPr>
            <w:tcW w:w="209"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07504724"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D</w:t>
            </w:r>
          </w:p>
        </w:tc>
        <w:tc>
          <w:tcPr>
            <w:tcW w:w="21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2DC5E055"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D</w:t>
            </w:r>
          </w:p>
        </w:tc>
        <w:tc>
          <w:tcPr>
            <w:tcW w:w="21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1B3BF5D2"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D</w:t>
            </w:r>
          </w:p>
        </w:tc>
        <w:tc>
          <w:tcPr>
            <w:tcW w:w="209"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6524411"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D</w:t>
            </w:r>
          </w:p>
        </w:tc>
        <w:tc>
          <w:tcPr>
            <w:tcW w:w="21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7D0A24A7"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D</w:t>
            </w:r>
          </w:p>
        </w:tc>
        <w:tc>
          <w:tcPr>
            <w:tcW w:w="21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092D0AC4"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D</w:t>
            </w:r>
          </w:p>
        </w:tc>
        <w:tc>
          <w:tcPr>
            <w:tcW w:w="209"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2002AA7E"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D</w:t>
            </w:r>
          </w:p>
        </w:tc>
        <w:tc>
          <w:tcPr>
            <w:tcW w:w="2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535A79"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themeColor="text1"/>
                <w:kern w:val="24"/>
                <w:sz w:val="16"/>
                <w:szCs w:val="16"/>
                <w:lang w:eastAsia="zh-CN"/>
              </w:rPr>
              <w:t>F</w:t>
            </w:r>
          </w:p>
        </w:tc>
        <w:tc>
          <w:tcPr>
            <w:tcW w:w="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C29E5D"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themeColor="text1"/>
                <w:kern w:val="24"/>
                <w:sz w:val="16"/>
                <w:szCs w:val="16"/>
                <w:lang w:eastAsia="zh-CN"/>
              </w:rPr>
              <w:t>F</w:t>
            </w:r>
          </w:p>
        </w:tc>
        <w:tc>
          <w:tcPr>
            <w:tcW w:w="210"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6642176C"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U</w:t>
            </w:r>
          </w:p>
        </w:tc>
        <w:tc>
          <w:tcPr>
            <w:tcW w:w="210"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10896893"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U</w:t>
            </w:r>
          </w:p>
        </w:tc>
        <w:tc>
          <w:tcPr>
            <w:tcW w:w="209"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027D76D2"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U</w:t>
            </w:r>
          </w:p>
        </w:tc>
        <w:tc>
          <w:tcPr>
            <w:tcW w:w="210"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2243F83C"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U</w:t>
            </w:r>
          </w:p>
        </w:tc>
        <w:tc>
          <w:tcPr>
            <w:tcW w:w="210"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2496D424"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U</w:t>
            </w:r>
          </w:p>
        </w:tc>
        <w:tc>
          <w:tcPr>
            <w:tcW w:w="209"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4955385A"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U</w:t>
            </w:r>
          </w:p>
        </w:tc>
        <w:tc>
          <w:tcPr>
            <w:tcW w:w="210"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655FB547"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U</w:t>
            </w:r>
          </w:p>
        </w:tc>
        <w:tc>
          <w:tcPr>
            <w:tcW w:w="209"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23BA43CE"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U</w:t>
            </w:r>
          </w:p>
        </w:tc>
        <w:tc>
          <w:tcPr>
            <w:tcW w:w="210" w:type="dxa"/>
            <w:tcBorders>
              <w:top w:val="single" w:sz="4" w:space="0" w:color="000000"/>
              <w:left w:val="single" w:sz="4" w:space="0" w:color="000000"/>
              <w:bottom w:val="single" w:sz="4" w:space="0" w:color="000000"/>
              <w:right w:val="single" w:sz="4" w:space="0" w:color="000000"/>
            </w:tcBorders>
            <w:shd w:val="reverseDiagStripe" w:color="auto" w:fill="92D050"/>
            <w:tcMar>
              <w:top w:w="15" w:type="dxa"/>
              <w:left w:w="15" w:type="dxa"/>
              <w:bottom w:w="0" w:type="dxa"/>
              <w:right w:w="15" w:type="dxa"/>
            </w:tcMar>
            <w:vAlign w:val="center"/>
            <w:hideMark/>
          </w:tcPr>
          <w:p w14:paraId="3BC7F59A"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FD</w:t>
            </w:r>
          </w:p>
        </w:tc>
        <w:tc>
          <w:tcPr>
            <w:tcW w:w="210" w:type="dxa"/>
            <w:tcBorders>
              <w:top w:val="single" w:sz="4" w:space="0" w:color="000000"/>
              <w:left w:val="single" w:sz="4" w:space="0" w:color="000000"/>
              <w:bottom w:val="single" w:sz="4" w:space="0" w:color="000000"/>
              <w:right w:val="single" w:sz="4" w:space="0" w:color="000000"/>
            </w:tcBorders>
            <w:shd w:val="reverseDiagStripe" w:color="auto" w:fill="92D050"/>
            <w:tcMar>
              <w:top w:w="15" w:type="dxa"/>
              <w:left w:w="15" w:type="dxa"/>
              <w:bottom w:w="0" w:type="dxa"/>
              <w:right w:w="15" w:type="dxa"/>
            </w:tcMar>
            <w:vAlign w:val="center"/>
            <w:hideMark/>
          </w:tcPr>
          <w:p w14:paraId="0125DE87"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FD</w:t>
            </w:r>
          </w:p>
        </w:tc>
        <w:tc>
          <w:tcPr>
            <w:tcW w:w="209" w:type="dxa"/>
            <w:tcBorders>
              <w:top w:val="single" w:sz="4" w:space="0" w:color="000000"/>
              <w:left w:val="single" w:sz="4" w:space="0" w:color="000000"/>
              <w:bottom w:val="single" w:sz="4" w:space="0" w:color="000000"/>
              <w:right w:val="single" w:sz="4" w:space="0" w:color="000000"/>
            </w:tcBorders>
            <w:shd w:val="reverseDiagStripe" w:color="auto" w:fill="92D050"/>
            <w:tcMar>
              <w:top w:w="15" w:type="dxa"/>
              <w:left w:w="15" w:type="dxa"/>
              <w:bottom w:w="0" w:type="dxa"/>
              <w:right w:w="15" w:type="dxa"/>
            </w:tcMar>
            <w:vAlign w:val="center"/>
            <w:hideMark/>
          </w:tcPr>
          <w:p w14:paraId="24D6A2C2"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FD</w:t>
            </w:r>
          </w:p>
        </w:tc>
        <w:tc>
          <w:tcPr>
            <w:tcW w:w="210" w:type="dxa"/>
            <w:tcBorders>
              <w:top w:val="single" w:sz="4" w:space="0" w:color="000000"/>
              <w:left w:val="single" w:sz="4" w:space="0" w:color="000000"/>
              <w:bottom w:val="single" w:sz="4" w:space="0" w:color="000000"/>
              <w:right w:val="single" w:sz="4" w:space="0" w:color="000000"/>
            </w:tcBorders>
            <w:shd w:val="reverseDiagStripe" w:color="auto" w:fill="92D050"/>
            <w:tcMar>
              <w:top w:w="15" w:type="dxa"/>
              <w:left w:w="15" w:type="dxa"/>
              <w:bottom w:w="0" w:type="dxa"/>
              <w:right w:w="15" w:type="dxa"/>
            </w:tcMar>
            <w:vAlign w:val="center"/>
            <w:hideMark/>
          </w:tcPr>
          <w:p w14:paraId="592EAB6B"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FD</w:t>
            </w:r>
          </w:p>
        </w:tc>
        <w:tc>
          <w:tcPr>
            <w:tcW w:w="209" w:type="dxa"/>
            <w:tcBorders>
              <w:top w:val="single" w:sz="4" w:space="0" w:color="000000"/>
              <w:left w:val="single" w:sz="4" w:space="0" w:color="000000"/>
              <w:bottom w:val="single" w:sz="4" w:space="0" w:color="000000"/>
              <w:right w:val="single" w:sz="4" w:space="0" w:color="000000"/>
            </w:tcBorders>
            <w:shd w:val="reverseDiagStripe" w:color="auto" w:fill="FFFF00"/>
            <w:tcMar>
              <w:top w:w="15" w:type="dxa"/>
              <w:left w:w="15" w:type="dxa"/>
              <w:bottom w:w="0" w:type="dxa"/>
              <w:right w:w="15" w:type="dxa"/>
            </w:tcMar>
            <w:vAlign w:val="center"/>
            <w:hideMark/>
          </w:tcPr>
          <w:p w14:paraId="6E72FD06"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FD</w:t>
            </w:r>
          </w:p>
        </w:tc>
        <w:tc>
          <w:tcPr>
            <w:tcW w:w="210" w:type="dxa"/>
            <w:tcBorders>
              <w:top w:val="single" w:sz="4" w:space="0" w:color="000000"/>
              <w:left w:val="single" w:sz="4" w:space="0" w:color="000000"/>
              <w:bottom w:val="single" w:sz="4" w:space="0" w:color="000000"/>
              <w:right w:val="single" w:sz="4" w:space="0" w:color="000000"/>
            </w:tcBorders>
            <w:shd w:val="reverseDiagStripe" w:color="auto" w:fill="FFFF00"/>
            <w:tcMar>
              <w:top w:w="15" w:type="dxa"/>
              <w:left w:w="15" w:type="dxa"/>
              <w:bottom w:w="0" w:type="dxa"/>
              <w:right w:w="15" w:type="dxa"/>
            </w:tcMar>
            <w:vAlign w:val="center"/>
            <w:hideMark/>
          </w:tcPr>
          <w:p w14:paraId="4C61CCE9"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FD</w:t>
            </w:r>
          </w:p>
        </w:tc>
        <w:tc>
          <w:tcPr>
            <w:tcW w:w="210" w:type="dxa"/>
            <w:tcBorders>
              <w:top w:val="single" w:sz="4" w:space="0" w:color="000000"/>
              <w:left w:val="single" w:sz="4" w:space="0" w:color="000000"/>
              <w:bottom w:val="single" w:sz="4" w:space="0" w:color="000000"/>
              <w:right w:val="single" w:sz="4" w:space="0" w:color="000000"/>
            </w:tcBorders>
            <w:shd w:val="reverseDiagStripe" w:color="auto" w:fill="FFFF00"/>
            <w:tcMar>
              <w:top w:w="15" w:type="dxa"/>
              <w:left w:w="15" w:type="dxa"/>
              <w:bottom w:w="0" w:type="dxa"/>
              <w:right w:w="15" w:type="dxa"/>
            </w:tcMar>
            <w:vAlign w:val="center"/>
            <w:hideMark/>
          </w:tcPr>
          <w:p w14:paraId="5EFED8B0"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FD</w:t>
            </w:r>
          </w:p>
        </w:tc>
        <w:tc>
          <w:tcPr>
            <w:tcW w:w="209" w:type="dxa"/>
            <w:tcBorders>
              <w:top w:val="single" w:sz="4" w:space="0" w:color="000000"/>
              <w:left w:val="single" w:sz="4" w:space="0" w:color="000000"/>
              <w:bottom w:val="single" w:sz="4" w:space="0" w:color="000000"/>
              <w:right w:val="single" w:sz="4" w:space="0" w:color="000000"/>
            </w:tcBorders>
            <w:shd w:val="reverseDiagStripe" w:color="auto" w:fill="FFFF00"/>
            <w:tcMar>
              <w:top w:w="15" w:type="dxa"/>
              <w:left w:w="15" w:type="dxa"/>
              <w:bottom w:w="0" w:type="dxa"/>
              <w:right w:w="15" w:type="dxa"/>
            </w:tcMar>
            <w:vAlign w:val="center"/>
            <w:hideMark/>
          </w:tcPr>
          <w:p w14:paraId="71CBD42A"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FD</w:t>
            </w:r>
          </w:p>
        </w:tc>
        <w:tc>
          <w:tcPr>
            <w:tcW w:w="210" w:type="dxa"/>
            <w:tcBorders>
              <w:top w:val="single" w:sz="4" w:space="0" w:color="000000"/>
              <w:left w:val="single" w:sz="4" w:space="0" w:color="000000"/>
              <w:bottom w:val="single" w:sz="4" w:space="0" w:color="000000"/>
              <w:right w:val="single" w:sz="4" w:space="0" w:color="000000"/>
            </w:tcBorders>
            <w:shd w:val="reverseDiagStripe" w:color="auto" w:fill="FFFF00"/>
            <w:tcMar>
              <w:top w:w="15" w:type="dxa"/>
              <w:left w:w="15" w:type="dxa"/>
              <w:bottom w:w="0" w:type="dxa"/>
              <w:right w:w="15" w:type="dxa"/>
            </w:tcMar>
            <w:vAlign w:val="center"/>
            <w:hideMark/>
          </w:tcPr>
          <w:p w14:paraId="3397559B"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FD</w:t>
            </w:r>
          </w:p>
        </w:tc>
        <w:tc>
          <w:tcPr>
            <w:tcW w:w="21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4FBBE902"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D</w:t>
            </w:r>
          </w:p>
        </w:tc>
        <w:tc>
          <w:tcPr>
            <w:tcW w:w="209"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76E6D96D"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D</w:t>
            </w:r>
          </w:p>
        </w:tc>
        <w:tc>
          <w:tcPr>
            <w:tcW w:w="21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1130136D"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D</w:t>
            </w:r>
          </w:p>
        </w:tc>
        <w:tc>
          <w:tcPr>
            <w:tcW w:w="209"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7C65F491"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D</w:t>
            </w:r>
          </w:p>
        </w:tc>
        <w:tc>
          <w:tcPr>
            <w:tcW w:w="21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E6452D0"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D</w:t>
            </w:r>
          </w:p>
        </w:tc>
        <w:tc>
          <w:tcPr>
            <w:tcW w:w="21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19C9E462"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D</w:t>
            </w:r>
          </w:p>
        </w:tc>
        <w:tc>
          <w:tcPr>
            <w:tcW w:w="209"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714B4FF3"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D</w:t>
            </w:r>
          </w:p>
        </w:tc>
        <w:tc>
          <w:tcPr>
            <w:tcW w:w="21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71472100"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D</w:t>
            </w:r>
          </w:p>
        </w:tc>
        <w:tc>
          <w:tcPr>
            <w:tcW w:w="21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50C9E36D" w14:textId="77777777" w:rsidR="001D0844" w:rsidRPr="001D0844" w:rsidRDefault="001D0844" w:rsidP="001D0844">
            <w:pPr>
              <w:spacing w:afterLines="0" w:after="0"/>
              <w:jc w:val="center"/>
              <w:textAlignment w:val="center"/>
              <w:rPr>
                <w:rFonts w:ascii="Arial" w:eastAsia="宋体" w:hAnsi="Arial" w:cs="Arial"/>
                <w:sz w:val="16"/>
                <w:szCs w:val="16"/>
                <w:lang w:eastAsia="zh-CN"/>
              </w:rPr>
            </w:pPr>
            <w:r w:rsidRPr="001D0844">
              <w:rPr>
                <w:rFonts w:eastAsia="宋体"/>
                <w:color w:val="000000"/>
                <w:kern w:val="24"/>
                <w:sz w:val="16"/>
                <w:szCs w:val="16"/>
                <w:lang w:eastAsia="zh-CN"/>
              </w:rPr>
              <w:t>D</w:t>
            </w:r>
          </w:p>
        </w:tc>
      </w:tr>
    </w:tbl>
    <w:p w14:paraId="202255E7" w14:textId="159D9F49" w:rsidR="007B6D98" w:rsidRDefault="001D0844" w:rsidP="001D0844">
      <w:pPr>
        <w:spacing w:after="120"/>
        <w:jc w:val="center"/>
        <w:rPr>
          <w:rFonts w:eastAsiaTheme="minorEastAsia"/>
          <w:lang w:val="en-GB" w:eastAsia="zh-CN"/>
        </w:rPr>
      </w:pPr>
      <w:r>
        <w:rPr>
          <w:rFonts w:eastAsiaTheme="minorEastAsia" w:hint="eastAsia"/>
          <w:lang w:val="en-GB" w:eastAsia="zh-CN"/>
        </w:rPr>
        <w:t>Figure 2. Dedicated FD symbol configuration.</w:t>
      </w:r>
    </w:p>
    <w:p w14:paraId="02A756C6" w14:textId="2FD6BFDF" w:rsidR="001D0844" w:rsidRDefault="001D0844" w:rsidP="001D0844">
      <w:pPr>
        <w:spacing w:after="120"/>
        <w:rPr>
          <w:rFonts w:eastAsiaTheme="minorEastAsia"/>
          <w:lang w:val="en-GB" w:eastAsia="zh-CN"/>
        </w:rPr>
      </w:pPr>
      <w:r>
        <w:rPr>
          <w:rFonts w:eastAsiaTheme="minorEastAsia"/>
          <w:lang w:val="en-GB" w:eastAsia="zh-CN"/>
        </w:rPr>
        <w:t xml:space="preserve">   In the FD mode, the UE still works in the FD mode, so the GP shall be reserved in the UL-DL switching. Too many GP symbols will reduce the resource efficiency, so the dedicated FD symbol should be configured consecutively in a period of frame structure. For one UE, the transmission should be scheduled before the reception in the configured FD symbols in order to avoid additional GP configurations. Let’s take figure 2 as an example, UE can be scheduled to transmit PUSCH in symbols #0 - #3</w:t>
      </w:r>
      <w:r w:rsidRPr="001D0844">
        <w:rPr>
          <w:rFonts w:eastAsiaTheme="minorEastAsia"/>
          <w:lang w:val="en-GB" w:eastAsia="zh-CN"/>
        </w:rPr>
        <w:t xml:space="preserve"> </w:t>
      </w:r>
      <w:r>
        <w:rPr>
          <w:rFonts w:eastAsiaTheme="minorEastAsia"/>
          <w:lang w:val="en-GB" w:eastAsia="zh-CN"/>
        </w:rPr>
        <w:t xml:space="preserve">of slot 2, then be scheduled to receive PDSCH in slot symbol #3-#13 of slot 2. </w:t>
      </w:r>
    </w:p>
    <w:p w14:paraId="26166213" w14:textId="5FAE501D" w:rsidR="001D0844" w:rsidRPr="00600FB2" w:rsidRDefault="001D0844" w:rsidP="001D0844">
      <w:pPr>
        <w:spacing w:after="120"/>
        <w:rPr>
          <w:rFonts w:eastAsiaTheme="minorEastAsia"/>
          <w:b/>
          <w:lang w:val="en-GB" w:eastAsia="zh-CN"/>
        </w:rPr>
      </w:pPr>
      <w:r w:rsidRPr="00600FB2">
        <w:rPr>
          <w:rFonts w:eastAsiaTheme="minorEastAsia"/>
          <w:b/>
          <w:lang w:val="en-GB" w:eastAsia="zh-CN"/>
        </w:rPr>
        <w:t xml:space="preserve">Proposal 2: support the configurations of a number of dedicated symbols as FD symbols, the dedicated FD symbols should be consecutive in a period of the frame structure. </w:t>
      </w:r>
    </w:p>
    <w:p w14:paraId="61CCACB4" w14:textId="77777777" w:rsidR="001D0844" w:rsidRDefault="001D0844" w:rsidP="001D0844">
      <w:pPr>
        <w:spacing w:after="120"/>
        <w:rPr>
          <w:rFonts w:eastAsiaTheme="minorEastAsia"/>
          <w:b/>
          <w:lang w:val="en-GB" w:eastAsia="zh-CN"/>
        </w:rPr>
      </w:pPr>
    </w:p>
    <w:p w14:paraId="3D44630B" w14:textId="65F1824B" w:rsidR="001D0844" w:rsidRDefault="006C06CC" w:rsidP="001D0844">
      <w:pPr>
        <w:spacing w:after="120"/>
        <w:rPr>
          <w:rFonts w:eastAsiaTheme="minorEastAsia"/>
          <w:b/>
          <w:lang w:val="en-GB" w:eastAsia="zh-CN"/>
        </w:rPr>
      </w:pPr>
      <w:r>
        <w:rPr>
          <w:rFonts w:eastAsiaTheme="minorEastAsia"/>
          <w:b/>
          <w:lang w:val="en-GB" w:eastAsia="zh-CN"/>
        </w:rPr>
        <w:t>Conclusion</w:t>
      </w:r>
    </w:p>
    <w:p w14:paraId="7D206E9A" w14:textId="5109902C" w:rsidR="006C06CC" w:rsidRPr="006C06CC" w:rsidRDefault="006C06CC" w:rsidP="006C06CC">
      <w:pPr>
        <w:spacing w:beforeLines="50" w:before="120" w:after="120"/>
        <w:rPr>
          <w:rFonts w:eastAsia="宋体"/>
          <w:lang w:val="en-GB"/>
        </w:rPr>
      </w:pPr>
      <w:r w:rsidRPr="004A06BE">
        <w:rPr>
          <w:rFonts w:eastAsia="宋体" w:hint="eastAsia"/>
          <w:lang w:val="en-GB"/>
        </w:rPr>
        <w:t xml:space="preserve">In this contribution, we </w:t>
      </w:r>
      <w:r>
        <w:rPr>
          <w:rFonts w:eastAsia="宋体" w:hint="eastAsia"/>
          <w:lang w:val="en-GB"/>
        </w:rPr>
        <w:t xml:space="preserve">discuss </w:t>
      </w:r>
      <w:r w:rsidRPr="004A06BE">
        <w:rPr>
          <w:rFonts w:eastAsia="宋体" w:hint="eastAsia"/>
          <w:lang w:val="en-GB"/>
        </w:rPr>
        <w:t xml:space="preserve">about </w:t>
      </w:r>
      <w:r w:rsidRPr="006C06CC">
        <w:rPr>
          <w:rFonts w:eastAsia="宋体"/>
          <w:lang w:val="en-GB"/>
        </w:rPr>
        <w:t>potential enhancements on dynamic/flexible TDD</w:t>
      </w:r>
      <w:r w:rsidRPr="006C06CC">
        <w:rPr>
          <w:rFonts w:eastAsia="宋体" w:hint="eastAsia"/>
          <w:lang w:val="en-GB"/>
        </w:rPr>
        <w:t xml:space="preserve"> </w:t>
      </w:r>
      <w:bookmarkStart w:id="7" w:name="_GoBack"/>
      <w:bookmarkEnd w:id="7"/>
      <w:r w:rsidRPr="004A06BE">
        <w:rPr>
          <w:rFonts w:eastAsia="宋体" w:hint="eastAsia"/>
          <w:lang w:val="en-GB"/>
        </w:rPr>
        <w:t>with the following proposal.</w:t>
      </w:r>
    </w:p>
    <w:p w14:paraId="38A2C6F7" w14:textId="77777777" w:rsidR="001D0844" w:rsidRPr="00600FB2" w:rsidRDefault="001D0844" w:rsidP="001D0844">
      <w:pPr>
        <w:spacing w:after="120"/>
        <w:rPr>
          <w:rFonts w:eastAsia="Malgun Gothic"/>
          <w:b/>
          <w:bCs/>
          <w:lang w:eastAsia="ko-KR"/>
        </w:rPr>
      </w:pPr>
      <w:r w:rsidRPr="00600FB2">
        <w:rPr>
          <w:rFonts w:eastAsiaTheme="minorEastAsia"/>
          <w:b/>
          <w:lang w:val="en-GB" w:eastAsia="zh-CN"/>
        </w:rPr>
        <w:t xml:space="preserve">Observation 1: </w:t>
      </w:r>
      <w:r w:rsidRPr="00600FB2">
        <w:rPr>
          <w:rFonts w:eastAsia="Malgun Gothic"/>
          <w:b/>
          <w:bCs/>
          <w:lang w:eastAsia="ko-KR"/>
        </w:rPr>
        <w:t xml:space="preserve">Observation 1: GP shall be reserved for the purpose of HF UE even the </w:t>
      </w:r>
      <w:proofErr w:type="spellStart"/>
      <w:r w:rsidRPr="00600FB2">
        <w:rPr>
          <w:rFonts w:eastAsia="Malgun Gothic"/>
          <w:b/>
          <w:bCs/>
          <w:lang w:eastAsia="ko-KR"/>
        </w:rPr>
        <w:t>gNB</w:t>
      </w:r>
      <w:proofErr w:type="spellEnd"/>
      <w:r w:rsidRPr="00600FB2">
        <w:rPr>
          <w:rFonts w:eastAsia="Malgun Gothic"/>
          <w:b/>
          <w:bCs/>
          <w:lang w:eastAsia="ko-KR"/>
        </w:rPr>
        <w:t xml:space="preserve"> works in the FD mode.</w:t>
      </w:r>
    </w:p>
    <w:p w14:paraId="37C67521" w14:textId="77777777" w:rsidR="001D0844" w:rsidRPr="00600FB2" w:rsidRDefault="001D0844" w:rsidP="001D0844">
      <w:pPr>
        <w:spacing w:after="120"/>
        <w:rPr>
          <w:rFonts w:eastAsiaTheme="minorEastAsia"/>
          <w:b/>
          <w:lang w:val="en-GB" w:eastAsia="zh-CN"/>
        </w:rPr>
      </w:pPr>
      <w:r w:rsidRPr="00600FB2">
        <w:rPr>
          <w:rFonts w:eastAsiaTheme="minorEastAsia" w:hint="eastAsia"/>
          <w:b/>
          <w:lang w:val="en-GB" w:eastAsia="zh-CN"/>
        </w:rPr>
        <w:t>P</w:t>
      </w:r>
      <w:r w:rsidRPr="00600FB2">
        <w:rPr>
          <w:rFonts w:eastAsiaTheme="minorEastAsia"/>
          <w:b/>
          <w:lang w:val="en-GB" w:eastAsia="zh-CN"/>
        </w:rPr>
        <w:t xml:space="preserve">roposal 1:  Extend the functionality of flexible symbol for supporting FD, and the frame structure configuration mechanism in legacy TDD can be reused. </w:t>
      </w:r>
    </w:p>
    <w:p w14:paraId="0398762A" w14:textId="2BBF37CE" w:rsidR="001D0844" w:rsidRPr="001D0844" w:rsidRDefault="001D0844" w:rsidP="001D0844">
      <w:pPr>
        <w:spacing w:after="120"/>
        <w:rPr>
          <w:rFonts w:eastAsiaTheme="minorEastAsia"/>
          <w:lang w:val="en-GB" w:eastAsia="zh-CN"/>
        </w:rPr>
      </w:pPr>
      <w:r w:rsidRPr="00600FB2">
        <w:rPr>
          <w:rFonts w:eastAsiaTheme="minorEastAsia"/>
          <w:b/>
          <w:lang w:val="en-GB" w:eastAsia="zh-CN"/>
        </w:rPr>
        <w:t>Proposal 2: support the configurations of a number of dedicated symbols as FD symbols, the dedicated FD symbols should be consecutive in a period of the frame structure.</w:t>
      </w:r>
    </w:p>
    <w:p w14:paraId="3F48F4CE" w14:textId="77777777" w:rsidR="000B67ED" w:rsidRPr="000B67ED" w:rsidRDefault="000B67ED" w:rsidP="00096FC6">
      <w:pPr>
        <w:pStyle w:val="ad"/>
        <w:keepNext/>
        <w:numPr>
          <w:ilvl w:val="0"/>
          <w:numId w:val="37"/>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096FC6">
      <w:pPr>
        <w:pStyle w:val="ad"/>
        <w:keepNext/>
        <w:numPr>
          <w:ilvl w:val="0"/>
          <w:numId w:val="37"/>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096FC6">
      <w:pPr>
        <w:pStyle w:val="ad"/>
        <w:keepNext/>
        <w:numPr>
          <w:ilvl w:val="0"/>
          <w:numId w:val="37"/>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096FC6">
      <w:pPr>
        <w:pStyle w:val="ad"/>
        <w:keepNext/>
        <w:numPr>
          <w:ilvl w:val="0"/>
          <w:numId w:val="37"/>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096FC6">
      <w:pPr>
        <w:pStyle w:val="ad"/>
        <w:keepNext/>
        <w:numPr>
          <w:ilvl w:val="1"/>
          <w:numId w:val="37"/>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096FC6">
      <w:pPr>
        <w:pStyle w:val="ad"/>
        <w:keepNext/>
        <w:numPr>
          <w:ilvl w:val="0"/>
          <w:numId w:val="4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096FC6">
      <w:pPr>
        <w:pStyle w:val="ad"/>
        <w:keepNext/>
        <w:numPr>
          <w:ilvl w:val="0"/>
          <w:numId w:val="4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096FC6">
      <w:pPr>
        <w:pStyle w:val="ad"/>
        <w:keepNext/>
        <w:numPr>
          <w:ilvl w:val="0"/>
          <w:numId w:val="4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096FC6">
      <w:pPr>
        <w:pStyle w:val="ad"/>
        <w:keepNext/>
        <w:numPr>
          <w:ilvl w:val="1"/>
          <w:numId w:val="4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096FC6">
      <w:pPr>
        <w:pStyle w:val="ad"/>
        <w:keepNext/>
        <w:numPr>
          <w:ilvl w:val="2"/>
          <w:numId w:val="4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096FC6">
      <w:pPr>
        <w:pStyle w:val="10"/>
        <w:numPr>
          <w:ilvl w:val="0"/>
          <w:numId w:val="36"/>
        </w:numPr>
      </w:pPr>
      <w:bookmarkStart w:id="8" w:name="_Ref64636111"/>
      <w:r>
        <w:rPr>
          <w:rFonts w:hint="eastAsia"/>
        </w:rPr>
        <w:t>Reference</w:t>
      </w:r>
    </w:p>
    <w:p w14:paraId="37097A90" w14:textId="225A4DF4" w:rsidR="00113CBA" w:rsidRPr="001D0844" w:rsidRDefault="00AD6B44" w:rsidP="00002749">
      <w:pPr>
        <w:pStyle w:val="ad"/>
        <w:numPr>
          <w:ilvl w:val="0"/>
          <w:numId w:val="11"/>
        </w:numPr>
        <w:spacing w:beforeLines="50" w:before="120" w:afterLines="0" w:after="120"/>
        <w:ind w:leftChars="0"/>
        <w:jc w:val="both"/>
        <w:rPr>
          <w:rFonts w:ascii="Times New Roman" w:eastAsia="宋体" w:hAnsi="Times New Roman"/>
          <w:szCs w:val="20"/>
        </w:rPr>
      </w:pPr>
      <w:r>
        <w:rPr>
          <w:rFonts w:ascii="Times New Roman" w:eastAsia="宋体" w:hAnsi="Times New Roman"/>
          <w:szCs w:val="20"/>
        </w:rPr>
        <w:t xml:space="preserve">RP-213591, </w:t>
      </w:r>
      <w:r w:rsidRPr="00C45F36">
        <w:rPr>
          <w:rFonts w:ascii="Times New Roman" w:eastAsia="宋体" w:hAnsi="Times New Roman"/>
          <w:szCs w:val="20"/>
        </w:rPr>
        <w:t>Study on Evolution of NR Duplex Operation</w:t>
      </w:r>
      <w:r>
        <w:rPr>
          <w:rFonts w:ascii="Times New Roman" w:eastAsia="宋体" w:hAnsi="Times New Roman"/>
          <w:szCs w:val="20"/>
        </w:rPr>
        <w:t xml:space="preserve">, </w:t>
      </w:r>
      <w:r>
        <w:rPr>
          <w:rFonts w:ascii="Times New Roman" w:eastAsia="宋体" w:hAnsi="Times New Roman"/>
          <w:noProof/>
          <w:szCs w:val="20"/>
        </w:rPr>
        <w:t>Moderator</w:t>
      </w:r>
      <w:r>
        <w:rPr>
          <w:rFonts w:ascii="Times New Roman" w:eastAsia="宋体" w:hAnsi="Times New Roman"/>
          <w:noProof/>
          <w:szCs w:val="20"/>
        </w:rPr>
        <w:t>（</w:t>
      </w:r>
      <w:r>
        <w:rPr>
          <w:rFonts w:ascii="Times New Roman" w:eastAsia="宋体" w:hAnsi="Times New Roman"/>
          <w:noProof/>
          <w:szCs w:val="20"/>
        </w:rPr>
        <w:t>CMCC</w:t>
      </w:r>
      <w:r>
        <w:rPr>
          <w:rFonts w:ascii="Times New Roman" w:eastAsia="宋体" w:hAnsi="Times New Roman"/>
          <w:noProof/>
          <w:szCs w:val="20"/>
        </w:rPr>
        <w:t>）</w:t>
      </w:r>
      <w:bookmarkEnd w:id="8"/>
    </w:p>
    <w:sectPr w:rsidR="00113CBA" w:rsidRPr="001D0844"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66D8F" w14:textId="77777777" w:rsidR="00A958F2" w:rsidRDefault="00A958F2" w:rsidP="00D4417E">
      <w:pPr>
        <w:spacing w:after="120"/>
        <w:ind w:left="-2"/>
      </w:pPr>
      <w:r>
        <w:separator/>
      </w:r>
    </w:p>
  </w:endnote>
  <w:endnote w:type="continuationSeparator" w:id="0">
    <w:p w14:paraId="72564680" w14:textId="77777777" w:rsidR="00A958F2" w:rsidRDefault="00A958F2" w:rsidP="00D4417E">
      <w:pPr>
        <w:spacing w:after="120"/>
        <w:ind w:left="-2"/>
      </w:pPr>
      <w:r>
        <w:continuationSeparator/>
      </w:r>
    </w:p>
  </w:endnote>
  <w:endnote w:type="continuationNotice" w:id="1">
    <w:p w14:paraId="6CD5859F" w14:textId="77777777" w:rsidR="00A958F2" w:rsidRDefault="00A958F2"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27E80" w:rsidRDefault="00227E8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27E80" w:rsidRDefault="00227E80"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27E80" w:rsidRDefault="00227E8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19EF8" w14:textId="77777777" w:rsidR="00A958F2" w:rsidRDefault="00A958F2" w:rsidP="00D4417E">
      <w:pPr>
        <w:spacing w:after="120"/>
        <w:ind w:left="-2"/>
      </w:pPr>
      <w:r>
        <w:separator/>
      </w:r>
    </w:p>
  </w:footnote>
  <w:footnote w:type="continuationSeparator" w:id="0">
    <w:p w14:paraId="6A7B24E9" w14:textId="77777777" w:rsidR="00A958F2" w:rsidRDefault="00A958F2" w:rsidP="00D4417E">
      <w:pPr>
        <w:spacing w:after="120"/>
        <w:ind w:left="-2"/>
      </w:pPr>
      <w:r>
        <w:continuationSeparator/>
      </w:r>
    </w:p>
  </w:footnote>
  <w:footnote w:type="continuationNotice" w:id="1">
    <w:p w14:paraId="7505657F" w14:textId="77777777" w:rsidR="00A958F2" w:rsidRDefault="00A958F2"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27E80" w:rsidRDefault="00227E8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27E80" w:rsidRPr="001A329E" w:rsidRDefault="00227E80"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27E80" w:rsidRDefault="00227E8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B9E0CFC"/>
    <w:multiLevelType w:val="singleLevel"/>
    <w:tmpl w:val="9B9E0CFC"/>
    <w:lvl w:ilvl="0">
      <w:start w:val="1"/>
      <w:numFmt w:val="bullet"/>
      <w:lvlText w:val=""/>
      <w:lvlJc w:val="left"/>
      <w:pPr>
        <w:tabs>
          <w:tab w:val="left" w:pos="420"/>
        </w:tabs>
        <w:ind w:left="420" w:hanging="420"/>
      </w:pPr>
      <w:rPr>
        <w:rFonts w:ascii="Wingdings" w:hAnsi="Wingdings" w:hint="default"/>
      </w:rPr>
    </w:lvl>
  </w:abstractNum>
  <w:abstractNum w:abstractNumId="1">
    <w:nsid w:val="E921F0B0"/>
    <w:multiLevelType w:val="singleLevel"/>
    <w:tmpl w:val="E921F0B0"/>
    <w:lvl w:ilvl="0">
      <w:start w:val="1"/>
      <w:numFmt w:val="decimal"/>
      <w:lvlText w:val="%1)"/>
      <w:lvlJc w:val="left"/>
      <w:pPr>
        <w:tabs>
          <w:tab w:val="left" w:pos="312"/>
        </w:tabs>
      </w:pPr>
    </w:lvl>
  </w:abstractNum>
  <w:abstractNum w:abstractNumId="2">
    <w:nsid w:val="00C23087"/>
    <w:multiLevelType w:val="hybridMultilevel"/>
    <w:tmpl w:val="B23C2FC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12048C8"/>
    <w:multiLevelType w:val="hybridMultilevel"/>
    <w:tmpl w:val="D192574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18A439E"/>
    <w:multiLevelType w:val="hybridMultilevel"/>
    <w:tmpl w:val="71CE4F6C"/>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31A3E2A"/>
    <w:multiLevelType w:val="hybridMultilevel"/>
    <w:tmpl w:val="E42E3CB0"/>
    <w:lvl w:ilvl="0" w:tplc="A9C8E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34B0A0D"/>
    <w:multiLevelType w:val="hybridMultilevel"/>
    <w:tmpl w:val="88EC62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04DE55A1"/>
    <w:multiLevelType w:val="hybridMultilevel"/>
    <w:tmpl w:val="7234B2C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58D212A"/>
    <w:multiLevelType w:val="hybridMultilevel"/>
    <w:tmpl w:val="6114ADE6"/>
    <w:lvl w:ilvl="0" w:tplc="04090003">
      <w:start w:val="1"/>
      <w:numFmt w:val="bullet"/>
      <w:lvlText w:val=""/>
      <w:lvlJc w:val="left"/>
      <w:pPr>
        <w:ind w:left="420" w:hanging="420"/>
      </w:pPr>
      <w:rPr>
        <w:rFonts w:ascii="Wingdings" w:hAnsi="Wingdings" w:hint="default"/>
      </w:rPr>
    </w:lvl>
    <w:lvl w:ilvl="1" w:tplc="E46480BA">
      <w:start w:val="1"/>
      <w:numFmt w:val="bullet"/>
      <w:lvlText w:val="-"/>
      <w:lvlJc w:val="left"/>
      <w:pPr>
        <w:ind w:left="840" w:hanging="420"/>
      </w:pPr>
      <w:rPr>
        <w:rFonts w:ascii="Times New Roman" w:eastAsia="Batang"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66A4AEB"/>
    <w:multiLevelType w:val="hybridMultilevel"/>
    <w:tmpl w:val="2C12030A"/>
    <w:lvl w:ilvl="0" w:tplc="0B38DB5E">
      <w:start w:val="1"/>
      <w:numFmt w:val="bullet"/>
      <w:lvlText w:val="•"/>
      <w:lvlJc w:val="left"/>
      <w:pPr>
        <w:ind w:left="720" w:hanging="360"/>
      </w:pPr>
      <w:rPr>
        <w:rFonts w:ascii="Arial" w:hAnsi="Arial" w:hint="default"/>
        <w:lang w:val="x-none"/>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1">
    <w:nsid w:val="0A365BA5"/>
    <w:multiLevelType w:val="hybridMultilevel"/>
    <w:tmpl w:val="1ECA6D9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B863323"/>
    <w:multiLevelType w:val="hybridMultilevel"/>
    <w:tmpl w:val="B11AD1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0DFF2E19"/>
    <w:multiLevelType w:val="hybridMultilevel"/>
    <w:tmpl w:val="75629BB8"/>
    <w:lvl w:ilvl="0" w:tplc="41A4895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0EA51470"/>
    <w:multiLevelType w:val="hybridMultilevel"/>
    <w:tmpl w:val="959AB5D8"/>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8">
    <w:nsid w:val="0FC6400C"/>
    <w:multiLevelType w:val="hybridMultilevel"/>
    <w:tmpl w:val="2D1E6638"/>
    <w:lvl w:ilvl="0" w:tplc="340AC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108608F1"/>
    <w:multiLevelType w:val="hybridMultilevel"/>
    <w:tmpl w:val="5EECE0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11DE2C37"/>
    <w:multiLevelType w:val="hybridMultilevel"/>
    <w:tmpl w:val="C7A20A8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2">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151509D2"/>
    <w:multiLevelType w:val="hybridMultilevel"/>
    <w:tmpl w:val="EDB6F110"/>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1A1130D3"/>
    <w:multiLevelType w:val="hybridMultilevel"/>
    <w:tmpl w:val="9252E6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E850FC1"/>
    <w:multiLevelType w:val="hybridMultilevel"/>
    <w:tmpl w:val="FCEC6FB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nsid w:val="1EC64ADA"/>
    <w:multiLevelType w:val="hybridMultilevel"/>
    <w:tmpl w:val="BB6C8F7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31">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21E15C75"/>
    <w:multiLevelType w:val="hybridMultilevel"/>
    <w:tmpl w:val="690691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265B2E8A"/>
    <w:multiLevelType w:val="hybridMultilevel"/>
    <w:tmpl w:val="25F0BE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268623A3"/>
    <w:multiLevelType w:val="hybridMultilevel"/>
    <w:tmpl w:val="A90A7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ABD427C"/>
    <w:multiLevelType w:val="hybridMultilevel"/>
    <w:tmpl w:val="EC90126E"/>
    <w:lvl w:ilvl="0" w:tplc="04090003">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2AEE21A1"/>
    <w:multiLevelType w:val="hybridMultilevel"/>
    <w:tmpl w:val="D44C201C"/>
    <w:lvl w:ilvl="0" w:tplc="4614D2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nsid w:val="2CAD17DB"/>
    <w:multiLevelType w:val="hybridMultilevel"/>
    <w:tmpl w:val="E22C6F3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43">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nsid w:val="356361A2"/>
    <w:multiLevelType w:val="hybridMultilevel"/>
    <w:tmpl w:val="B89CE8B4"/>
    <w:lvl w:ilvl="0" w:tplc="04090001">
      <w:start w:val="1"/>
      <w:numFmt w:val="bullet"/>
      <w:lvlText w:val=""/>
      <w:lvlJc w:val="left"/>
      <w:pPr>
        <w:ind w:left="420" w:hanging="420"/>
      </w:pPr>
      <w:rPr>
        <w:rFonts w:ascii="Symbol" w:hAnsi="Symbol"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384F658D"/>
    <w:multiLevelType w:val="hybridMultilevel"/>
    <w:tmpl w:val="304E8F3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397168F9"/>
    <w:multiLevelType w:val="hybridMultilevel"/>
    <w:tmpl w:val="C08E96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3A50593C"/>
    <w:multiLevelType w:val="hybridMultilevel"/>
    <w:tmpl w:val="30523E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50">
    <w:nsid w:val="3B1964EC"/>
    <w:multiLevelType w:val="hybridMultilevel"/>
    <w:tmpl w:val="326E27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nsid w:val="3BCA7C6B"/>
    <w:multiLevelType w:val="hybridMultilevel"/>
    <w:tmpl w:val="6B342EEE"/>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7DC2F8D0">
      <w:start w:val="1"/>
      <w:numFmt w:val="bullet"/>
      <w:lvlText w:val="•"/>
      <w:lvlJc w:val="left"/>
      <w:pPr>
        <w:ind w:left="2100" w:hanging="420"/>
      </w:pPr>
      <w:rPr>
        <w:rFonts w:ascii="Arial" w:hAnsi="Aria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4">
    <w:nsid w:val="42021137"/>
    <w:multiLevelType w:val="hybridMultilevel"/>
    <w:tmpl w:val="FE00F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5AF2067"/>
    <w:multiLevelType w:val="hybridMultilevel"/>
    <w:tmpl w:val="A09282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468519EC"/>
    <w:multiLevelType w:val="hybridMultilevel"/>
    <w:tmpl w:val="66E86C6E"/>
    <w:lvl w:ilvl="0" w:tplc="385A4E58">
      <w:numFmt w:val="bullet"/>
      <w:lvlText w:val="o"/>
      <w:lvlJc w:val="left"/>
      <w:pPr>
        <w:ind w:left="760" w:hanging="360"/>
      </w:pPr>
      <w:rPr>
        <w:rFonts w:ascii="Courier New" w:hAnsi="Courier New"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8">
    <w:nsid w:val="499D4FA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nsid w:val="4DCE24A1"/>
    <w:multiLevelType w:val="hybridMultilevel"/>
    <w:tmpl w:val="D69A61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1480294"/>
    <w:multiLevelType w:val="hybridMultilevel"/>
    <w:tmpl w:val="2CB2F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51B01EC8"/>
    <w:multiLevelType w:val="hybridMultilevel"/>
    <w:tmpl w:val="16087D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52F65D70"/>
    <w:multiLevelType w:val="hybridMultilevel"/>
    <w:tmpl w:val="10062F8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nsid w:val="53116EE3"/>
    <w:multiLevelType w:val="hybridMultilevel"/>
    <w:tmpl w:val="A48E4F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nsid w:val="55513BFF"/>
    <w:multiLevelType w:val="hybridMultilevel"/>
    <w:tmpl w:val="504A9A5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61106C6"/>
    <w:multiLevelType w:val="hybridMultilevel"/>
    <w:tmpl w:val="DE560B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宋体"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72">
    <w:nsid w:val="57D663C3"/>
    <w:multiLevelType w:val="hybridMultilevel"/>
    <w:tmpl w:val="028AA2BC"/>
    <w:lvl w:ilvl="0" w:tplc="E46480BA">
      <w:start w:val="1"/>
      <w:numFmt w:val="bullet"/>
      <w:lvlText w:val="-"/>
      <w:lvlJc w:val="left"/>
      <w:pPr>
        <w:ind w:left="576" w:hanging="360"/>
      </w:pPr>
      <w:rPr>
        <w:rFonts w:ascii="Times New Roman" w:eastAsia="Batang"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3">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4">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nsid w:val="5B453698"/>
    <w:multiLevelType w:val="hybridMultilevel"/>
    <w:tmpl w:val="14E60816"/>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7">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nsid w:val="61820E7B"/>
    <w:multiLevelType w:val="hybridMultilevel"/>
    <w:tmpl w:val="2D1E6638"/>
    <w:lvl w:ilvl="0" w:tplc="340AC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nsid w:val="6BDB7FF6"/>
    <w:multiLevelType w:val="multilevel"/>
    <w:tmpl w:val="CFEABDA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nsid w:val="6C4726BD"/>
    <w:multiLevelType w:val="hybridMultilevel"/>
    <w:tmpl w:val="C12C59E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D066098"/>
    <w:multiLevelType w:val="hybridMultilevel"/>
    <w:tmpl w:val="B3625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nsid w:val="73042C0C"/>
    <w:multiLevelType w:val="hybridMultilevel"/>
    <w:tmpl w:val="F55EACE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nsid w:val="7A722CE0"/>
    <w:multiLevelType w:val="hybridMultilevel"/>
    <w:tmpl w:val="77EE5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nsid w:val="7E4E39D1"/>
    <w:multiLevelType w:val="hybridMultilevel"/>
    <w:tmpl w:val="7E7E2A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0">
    <w:nsid w:val="7FA81B4C"/>
    <w:multiLevelType w:val="hybridMultilevel"/>
    <w:tmpl w:val="4EACB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9"/>
  </w:num>
  <w:num w:numId="2">
    <w:abstractNumId w:val="88"/>
  </w:num>
  <w:num w:numId="3">
    <w:abstractNumId w:val="99"/>
  </w:num>
  <w:num w:numId="4">
    <w:abstractNumId w:val="44"/>
  </w:num>
  <w:num w:numId="5">
    <w:abstractNumId w:val="73"/>
  </w:num>
  <w:num w:numId="6">
    <w:abstractNumId w:val="28"/>
  </w:num>
  <w:num w:numId="7">
    <w:abstractNumId w:val="54"/>
  </w:num>
  <w:num w:numId="8">
    <w:abstractNumId w:val="43"/>
  </w:num>
  <w:num w:numId="9">
    <w:abstractNumId w:val="5"/>
  </w:num>
  <w:num w:numId="10">
    <w:abstractNumId w:val="74"/>
  </w:num>
  <w:num w:numId="11">
    <w:abstractNumId w:val="93"/>
  </w:num>
  <w:num w:numId="12">
    <w:abstractNumId w:val="97"/>
  </w:num>
  <w:num w:numId="13">
    <w:abstractNumId w:val="70"/>
  </w:num>
  <w:num w:numId="14">
    <w:abstractNumId w:val="19"/>
  </w:num>
  <w:num w:numId="15">
    <w:abstractNumId w:val="89"/>
  </w:num>
  <w:num w:numId="16">
    <w:abstractNumId w:val="71"/>
  </w:num>
  <w:num w:numId="17">
    <w:abstractNumId w:val="57"/>
  </w:num>
  <w:num w:numId="18">
    <w:abstractNumId w:val="51"/>
  </w:num>
  <w:num w:numId="19">
    <w:abstractNumId w:val="22"/>
  </w:num>
  <w:num w:numId="20">
    <w:abstractNumId w:val="95"/>
  </w:num>
  <w:num w:numId="21">
    <w:abstractNumId w:val="96"/>
  </w:num>
  <w:num w:numId="22">
    <w:abstractNumId w:val="37"/>
  </w:num>
  <w:num w:numId="23">
    <w:abstractNumId w:val="21"/>
  </w:num>
  <w:num w:numId="24">
    <w:abstractNumId w:val="77"/>
  </w:num>
  <w:num w:numId="25">
    <w:abstractNumId w:val="78"/>
  </w:num>
  <w:num w:numId="26">
    <w:abstractNumId w:val="80"/>
  </w:num>
  <w:num w:numId="27">
    <w:abstractNumId w:val="62"/>
  </w:num>
  <w:num w:numId="28">
    <w:abstractNumId w:val="35"/>
  </w:num>
  <w:num w:numId="29">
    <w:abstractNumId w:val="40"/>
  </w:num>
  <w:num w:numId="30">
    <w:abstractNumId w:val="82"/>
  </w:num>
  <w:num w:numId="31">
    <w:abstractNumId w:val="15"/>
  </w:num>
  <w:num w:numId="32">
    <w:abstractNumId w:val="86"/>
  </w:num>
  <w:num w:numId="33">
    <w:abstractNumId w:val="14"/>
  </w:num>
  <w:num w:numId="34">
    <w:abstractNumId w:val="85"/>
  </w:num>
  <w:num w:numId="35">
    <w:abstractNumId w:val="61"/>
  </w:num>
  <w:num w:numId="36">
    <w:abstractNumId w:val="23"/>
  </w:num>
  <w:num w:numId="37">
    <w:abstractNumId w:val="31"/>
  </w:num>
  <w:num w:numId="38">
    <w:abstractNumId w:val="56"/>
  </w:num>
  <w:num w:numId="39">
    <w:abstractNumId w:val="66"/>
  </w:num>
  <w:num w:numId="40">
    <w:abstractNumId w:val="12"/>
  </w:num>
  <w:num w:numId="41">
    <w:abstractNumId w:val="32"/>
  </w:num>
  <w:num w:numId="42">
    <w:abstractNumId w:val="17"/>
  </w:num>
  <w:num w:numId="43">
    <w:abstractNumId w:val="42"/>
  </w:num>
  <w:num w:numId="44">
    <w:abstractNumId w:val="72"/>
  </w:num>
  <w:num w:numId="45">
    <w:abstractNumId w:val="4"/>
  </w:num>
  <w:num w:numId="46">
    <w:abstractNumId w:val="64"/>
  </w:num>
  <w:num w:numId="47">
    <w:abstractNumId w:val="49"/>
  </w:num>
  <w:num w:numId="48">
    <w:abstractNumId w:val="53"/>
  </w:num>
  <w:num w:numId="49">
    <w:abstractNumId w:val="56"/>
  </w:num>
  <w:num w:numId="50">
    <w:abstractNumId w:val="58"/>
  </w:num>
  <w:num w:numId="51">
    <w:abstractNumId w:val="63"/>
  </w:num>
  <w:num w:numId="52">
    <w:abstractNumId w:val="48"/>
  </w:num>
  <w:num w:numId="53">
    <w:abstractNumId w:val="3"/>
  </w:num>
  <w:num w:numId="54">
    <w:abstractNumId w:val="47"/>
  </w:num>
  <w:num w:numId="55">
    <w:abstractNumId w:val="92"/>
  </w:num>
  <w:num w:numId="56">
    <w:abstractNumId w:val="8"/>
  </w:num>
  <w:num w:numId="57">
    <w:abstractNumId w:val="11"/>
  </w:num>
  <w:num w:numId="58">
    <w:abstractNumId w:val="69"/>
  </w:num>
  <w:num w:numId="59">
    <w:abstractNumId w:val="83"/>
  </w:num>
  <w:num w:numId="60">
    <w:abstractNumId w:val="1"/>
  </w:num>
  <w:num w:numId="61">
    <w:abstractNumId w:val="0"/>
  </w:num>
  <w:num w:numId="62">
    <w:abstractNumId w:val="6"/>
  </w:num>
  <w:num w:numId="63">
    <w:abstractNumId w:val="56"/>
  </w:num>
  <w:num w:numId="64">
    <w:abstractNumId w:val="9"/>
  </w:num>
  <w:num w:numId="65">
    <w:abstractNumId w:val="38"/>
  </w:num>
  <w:num w:numId="66">
    <w:abstractNumId w:val="55"/>
  </w:num>
  <w:num w:numId="67">
    <w:abstractNumId w:val="91"/>
  </w:num>
  <w:num w:numId="68">
    <w:abstractNumId w:val="79"/>
  </w:num>
  <w:num w:numId="69">
    <w:abstractNumId w:val="90"/>
  </w:num>
  <w:num w:numId="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0"/>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6"/>
  </w:num>
  <w:num w:numId="74">
    <w:abstractNumId w:val="34"/>
  </w:num>
  <w:num w:numId="75">
    <w:abstractNumId w:val="67"/>
  </w:num>
  <w:num w:numId="76">
    <w:abstractNumId w:val="20"/>
  </w:num>
  <w:num w:numId="77">
    <w:abstractNumId w:val="50"/>
  </w:num>
  <w:num w:numId="78">
    <w:abstractNumId w:val="56"/>
  </w:num>
  <w:num w:numId="79">
    <w:abstractNumId w:val="33"/>
  </w:num>
  <w:num w:numId="80">
    <w:abstractNumId w:val="18"/>
  </w:num>
  <w:num w:numId="81">
    <w:abstractNumId w:val="75"/>
  </w:num>
  <w:num w:numId="82">
    <w:abstractNumId w:val="87"/>
  </w:num>
  <w:num w:numId="83">
    <w:abstractNumId w:val="98"/>
  </w:num>
  <w:num w:numId="84">
    <w:abstractNumId w:val="7"/>
  </w:num>
  <w:num w:numId="85">
    <w:abstractNumId w:val="56"/>
  </w:num>
  <w:num w:numId="86">
    <w:abstractNumId w:val="94"/>
  </w:num>
  <w:num w:numId="87">
    <w:abstractNumId w:val="16"/>
  </w:num>
  <w:num w:numId="88">
    <w:abstractNumId w:val="2"/>
  </w:num>
  <w:num w:numId="89">
    <w:abstractNumId w:val="13"/>
  </w:num>
  <w:num w:numId="90">
    <w:abstractNumId w:val="68"/>
  </w:num>
  <w:num w:numId="91">
    <w:abstractNumId w:val="84"/>
  </w:num>
  <w:num w:numId="92">
    <w:abstractNumId w:val="30"/>
  </w:num>
  <w:num w:numId="93">
    <w:abstractNumId w:val="39"/>
  </w:num>
  <w:num w:numId="94">
    <w:abstractNumId w:val="65"/>
  </w:num>
  <w:num w:numId="95">
    <w:abstractNumId w:val="52"/>
  </w:num>
  <w:num w:numId="96">
    <w:abstractNumId w:val="24"/>
  </w:num>
  <w:num w:numId="97">
    <w:abstractNumId w:val="45"/>
  </w:num>
  <w:num w:numId="98">
    <w:abstractNumId w:val="56"/>
  </w:num>
  <w:num w:numId="99">
    <w:abstractNumId w:val="100"/>
  </w:num>
  <w:num w:numId="100">
    <w:abstractNumId w:val="46"/>
  </w:num>
  <w:num w:numId="101">
    <w:abstractNumId w:val="10"/>
  </w:num>
  <w:num w:numId="102">
    <w:abstractNumId w:val="27"/>
  </w:num>
  <w:num w:numId="103">
    <w:abstractNumId w:val="36"/>
  </w:num>
  <w:num w:numId="104">
    <w:abstractNumId w:val="76"/>
  </w:num>
  <w:num w:numId="105">
    <w:abstractNumId w:val="81"/>
  </w:num>
  <w:num w:numId="106">
    <w:abstractNumId w:val="23"/>
  </w:num>
  <w:num w:numId="107">
    <w:abstractNumId w:val="25"/>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F11"/>
    <w:rsid w:val="00033171"/>
    <w:rsid w:val="000339D3"/>
    <w:rsid w:val="00033B42"/>
    <w:rsid w:val="00034358"/>
    <w:rsid w:val="0003466B"/>
    <w:rsid w:val="000349A0"/>
    <w:rsid w:val="00034B1E"/>
    <w:rsid w:val="00034F6F"/>
    <w:rsid w:val="00034FE0"/>
    <w:rsid w:val="000350C8"/>
    <w:rsid w:val="00035570"/>
    <w:rsid w:val="00035711"/>
    <w:rsid w:val="000357E3"/>
    <w:rsid w:val="00035E15"/>
    <w:rsid w:val="000361FE"/>
    <w:rsid w:val="00036766"/>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1ED"/>
    <w:rsid w:val="0005087B"/>
    <w:rsid w:val="00050E51"/>
    <w:rsid w:val="000511A0"/>
    <w:rsid w:val="0005124E"/>
    <w:rsid w:val="0005132F"/>
    <w:rsid w:val="0005156F"/>
    <w:rsid w:val="0005196D"/>
    <w:rsid w:val="00051A8E"/>
    <w:rsid w:val="0005203B"/>
    <w:rsid w:val="00052133"/>
    <w:rsid w:val="00052577"/>
    <w:rsid w:val="000527E0"/>
    <w:rsid w:val="00052886"/>
    <w:rsid w:val="00052908"/>
    <w:rsid w:val="000533EB"/>
    <w:rsid w:val="0005367D"/>
    <w:rsid w:val="00053A59"/>
    <w:rsid w:val="00053DCC"/>
    <w:rsid w:val="00054151"/>
    <w:rsid w:val="00054802"/>
    <w:rsid w:val="00054B92"/>
    <w:rsid w:val="0005514B"/>
    <w:rsid w:val="0005592F"/>
    <w:rsid w:val="00055D81"/>
    <w:rsid w:val="00055DDD"/>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F9A"/>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9F0"/>
    <w:rsid w:val="001F2D3A"/>
    <w:rsid w:val="001F2F39"/>
    <w:rsid w:val="001F343F"/>
    <w:rsid w:val="001F3907"/>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A68"/>
    <w:rsid w:val="00295BF9"/>
    <w:rsid w:val="0029671D"/>
    <w:rsid w:val="0029675E"/>
    <w:rsid w:val="002969E8"/>
    <w:rsid w:val="00296EB9"/>
    <w:rsid w:val="00297027"/>
    <w:rsid w:val="0029707D"/>
    <w:rsid w:val="00297273"/>
    <w:rsid w:val="00297884"/>
    <w:rsid w:val="00297E60"/>
    <w:rsid w:val="002A1453"/>
    <w:rsid w:val="002A14FC"/>
    <w:rsid w:val="002A2094"/>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F03"/>
    <w:rsid w:val="0033158B"/>
    <w:rsid w:val="00331AF5"/>
    <w:rsid w:val="00332127"/>
    <w:rsid w:val="00332222"/>
    <w:rsid w:val="00332356"/>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301E8"/>
    <w:rsid w:val="00430401"/>
    <w:rsid w:val="004307A9"/>
    <w:rsid w:val="00430B6E"/>
    <w:rsid w:val="00430F00"/>
    <w:rsid w:val="00431164"/>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24AD"/>
    <w:rsid w:val="0046254C"/>
    <w:rsid w:val="00462AF6"/>
    <w:rsid w:val="004635F6"/>
    <w:rsid w:val="0046428D"/>
    <w:rsid w:val="0046478E"/>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B6B"/>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71C6"/>
    <w:rsid w:val="00717D99"/>
    <w:rsid w:val="007204E7"/>
    <w:rsid w:val="00721201"/>
    <w:rsid w:val="0072182A"/>
    <w:rsid w:val="00721A5F"/>
    <w:rsid w:val="00721B13"/>
    <w:rsid w:val="00721DC5"/>
    <w:rsid w:val="00721F81"/>
    <w:rsid w:val="0072217C"/>
    <w:rsid w:val="00722BA5"/>
    <w:rsid w:val="0072302A"/>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C3F"/>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6AED"/>
    <w:rsid w:val="007C6BF2"/>
    <w:rsid w:val="007C6FAD"/>
    <w:rsid w:val="007C7526"/>
    <w:rsid w:val="007C759E"/>
    <w:rsid w:val="007C7902"/>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3AC"/>
    <w:rsid w:val="0089666A"/>
    <w:rsid w:val="00896790"/>
    <w:rsid w:val="00896858"/>
    <w:rsid w:val="00896873"/>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3B86"/>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DA0"/>
    <w:rsid w:val="00994E80"/>
    <w:rsid w:val="009951B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FA7"/>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316"/>
    <w:rsid w:val="00A77415"/>
    <w:rsid w:val="00A7772E"/>
    <w:rsid w:val="00A77A50"/>
    <w:rsid w:val="00A77C33"/>
    <w:rsid w:val="00A77D62"/>
    <w:rsid w:val="00A77F87"/>
    <w:rsid w:val="00A81DC7"/>
    <w:rsid w:val="00A822EA"/>
    <w:rsid w:val="00A823AC"/>
    <w:rsid w:val="00A82C94"/>
    <w:rsid w:val="00A83816"/>
    <w:rsid w:val="00A839AC"/>
    <w:rsid w:val="00A83F88"/>
    <w:rsid w:val="00A84176"/>
    <w:rsid w:val="00A84AB7"/>
    <w:rsid w:val="00A84DED"/>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8F2"/>
    <w:rsid w:val="00A95C26"/>
    <w:rsid w:val="00A95F36"/>
    <w:rsid w:val="00A95F45"/>
    <w:rsid w:val="00A961D1"/>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12F"/>
    <w:rsid w:val="00B259ED"/>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29"/>
    <w:rsid w:val="00B41843"/>
    <w:rsid w:val="00B41A87"/>
    <w:rsid w:val="00B41A95"/>
    <w:rsid w:val="00B42055"/>
    <w:rsid w:val="00B42079"/>
    <w:rsid w:val="00B4233F"/>
    <w:rsid w:val="00B42340"/>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9A0"/>
    <w:rsid w:val="00E42AE8"/>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76C"/>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DB"/>
    <w:rsid w:val="00F37CE5"/>
    <w:rsid w:val="00F37F41"/>
    <w:rsid w:val="00F37F6D"/>
    <w:rsid w:val="00F37F94"/>
    <w:rsid w:val="00F401A7"/>
    <w:rsid w:val="00F407F7"/>
    <w:rsid w:val="00F409B0"/>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36"/>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4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51"/>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2"/>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semiHidden/>
    <w:unhideWhenUsed/>
    <w:rsid w:val="001D0844"/>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CFDCA-0D4F-4387-B977-DCADC45C3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3</Pages>
  <Words>1202</Words>
  <Characters>6855</Characters>
  <Application>Microsoft Office Word</Application>
  <DocSecurity>0</DocSecurity>
  <PresentationFormat/>
  <Lines>57</Lines>
  <Paragraphs>16</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8041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3</cp:revision>
  <dcterms:created xsi:type="dcterms:W3CDTF">2022-01-24T03:56:00Z</dcterms:created>
  <dcterms:modified xsi:type="dcterms:W3CDTF">2022-04-14T12:17:00Z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